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E10" w:rsidRPr="00CB50CB" w:rsidRDefault="00941E10" w:rsidP="00C83003">
      <w:pPr>
        <w:spacing w:line="600" w:lineRule="auto"/>
        <w:jc w:val="center"/>
        <w:rPr>
          <w:b/>
        </w:rPr>
      </w:pPr>
      <w:r w:rsidRPr="00CB50CB">
        <w:rPr>
          <w:b/>
        </w:rPr>
        <w:t>Appendix B</w:t>
      </w:r>
    </w:p>
    <w:p w:rsidR="00CB50CB" w:rsidRPr="00C83003" w:rsidRDefault="00E97251" w:rsidP="00C83003">
      <w:pPr>
        <w:spacing w:line="600" w:lineRule="auto"/>
        <w:jc w:val="center"/>
        <w:rPr>
          <w:b/>
        </w:rPr>
      </w:pPr>
      <w:r>
        <w:rPr>
          <w:b/>
        </w:rPr>
        <w:t>Sources, Coding, Summary Statistics</w:t>
      </w:r>
      <w:r w:rsidR="008D11BF">
        <w:rPr>
          <w:b/>
        </w:rPr>
        <w:t>,</w:t>
      </w:r>
      <w:r>
        <w:rPr>
          <w:b/>
        </w:rPr>
        <w:t xml:space="preserve"> and Bivariate Relationships</w:t>
      </w:r>
    </w:p>
    <w:p w:rsidR="00CB50CB" w:rsidRDefault="00CB50CB" w:rsidP="00941E10">
      <w:pPr>
        <w:spacing w:line="480" w:lineRule="auto"/>
      </w:pPr>
      <w:r>
        <w:t>The base</w:t>
      </w:r>
      <w:r w:rsidR="009E4013">
        <w:t xml:space="preserve"> </w:t>
      </w:r>
      <w:r>
        <w:t xml:space="preserve">map used to identify border segments </w:t>
      </w:r>
      <w:r w:rsidR="00CF768C">
        <w:t>is the 10m boundary line map produced by Natural Earth.</w:t>
      </w:r>
      <w:r w:rsidR="00CF768C">
        <w:rPr>
          <w:rStyle w:val="FootnoteReference"/>
        </w:rPr>
        <w:footnoteReference w:id="1"/>
      </w:r>
      <w:r w:rsidR="00CF768C">
        <w:t xml:space="preserve">  </w:t>
      </w:r>
      <w:r w:rsidR="009E4013">
        <w:t xml:space="preserve">All calculations involving lengths or distances used an equidistant conic projection </w:t>
      </w:r>
      <w:r w:rsidR="00E92AB8">
        <w:t>defined over the African continent</w:t>
      </w:r>
      <w:r w:rsidR="009E4013">
        <w:t>; calculations involving area used an Alb</w:t>
      </w:r>
      <w:r w:rsidR="00E92AB8">
        <w:t>ers equal area conic projection, also defined over Africa.</w:t>
      </w:r>
    </w:p>
    <w:p w:rsidR="009E4013" w:rsidRPr="00CB50CB" w:rsidRDefault="009E4013" w:rsidP="00941E10">
      <w:pPr>
        <w:spacing w:line="480" w:lineRule="auto"/>
      </w:pPr>
    </w:p>
    <w:p w:rsidR="00CB50CB" w:rsidRDefault="00CB50CB" w:rsidP="00941E10">
      <w:pPr>
        <w:spacing w:line="480" w:lineRule="auto"/>
        <w:rPr>
          <w:b/>
        </w:rPr>
      </w:pPr>
      <w:r w:rsidRPr="006C6697">
        <w:rPr>
          <w:b/>
        </w:rPr>
        <w:t>1. Ethnic Variables</w:t>
      </w:r>
    </w:p>
    <w:p w:rsidR="00F12428" w:rsidRPr="00AD4CC5" w:rsidRDefault="004F5A26" w:rsidP="00AD4CC5">
      <w:pPr>
        <w:spacing w:line="480" w:lineRule="auto"/>
        <w:rPr>
          <w:szCs w:val="28"/>
        </w:rPr>
      </w:pPr>
      <w:r>
        <w:t xml:space="preserve">The ethnic variables used in the main text were derived from two different sources.  The first is the Soviet </w:t>
      </w:r>
      <w:r w:rsidR="00F12428">
        <w:t>atlas</w:t>
      </w:r>
      <w:r>
        <w:t xml:space="preserve"> </w:t>
      </w:r>
      <w:r w:rsidRPr="009673A0">
        <w:rPr>
          <w:i/>
        </w:rPr>
        <w:t>Narodov Mira</w:t>
      </w:r>
      <w:r>
        <w:rPr>
          <w:i/>
        </w:rPr>
        <w:t xml:space="preserve"> </w:t>
      </w:r>
      <w:r>
        <w:t xml:space="preserve">(Bruk and Apenchenko 1964), </w:t>
      </w:r>
      <w:r w:rsidR="00F12428">
        <w:t xml:space="preserve">which was </w:t>
      </w:r>
      <w:r>
        <w:t xml:space="preserve">digitized by </w:t>
      </w:r>
      <w:r w:rsidRPr="00CE040D">
        <w:rPr>
          <w:szCs w:val="28"/>
        </w:rPr>
        <w:t xml:space="preserve">Weidmann, Rød, and Cederman (2010) into </w:t>
      </w:r>
      <w:r>
        <w:rPr>
          <w:szCs w:val="28"/>
        </w:rPr>
        <w:t>the data set</w:t>
      </w:r>
      <w:r w:rsidRPr="00CE040D">
        <w:rPr>
          <w:szCs w:val="28"/>
        </w:rPr>
        <w:t xml:space="preserve"> </w:t>
      </w:r>
      <w:r>
        <w:rPr>
          <w:szCs w:val="28"/>
        </w:rPr>
        <w:t>Georeferencing of Ethnic Groups (GREG)</w:t>
      </w:r>
      <w:r w:rsidRPr="00CE040D">
        <w:rPr>
          <w:szCs w:val="28"/>
        </w:rPr>
        <w:t>.</w:t>
      </w:r>
      <w:r>
        <w:rPr>
          <w:szCs w:val="28"/>
        </w:rPr>
        <w:t xml:space="preserve">  </w:t>
      </w:r>
      <w:r>
        <w:rPr>
          <w:szCs w:val="24"/>
        </w:rPr>
        <w:t xml:space="preserve">GREG differentiates Arabs on the basis of country, creating separate polygons for Sudanese, Tunisian, Egyptian, Moroccan, Algerian, Libyan, and Western Saharan Arabs.  In the tests reported in the paper, we aggregated these into a single Arab group.  In appendix C, we report results without this change.  </w:t>
      </w:r>
      <w:r w:rsidR="00AD4CC5">
        <w:rPr>
          <w:szCs w:val="24"/>
        </w:rPr>
        <w:t>We also report results using an alternative ethnic map produced by Murdock (1959).</w:t>
      </w:r>
    </w:p>
    <w:p w:rsidR="00F12428" w:rsidRDefault="00F12428" w:rsidP="00F12428">
      <w:pPr>
        <w:spacing w:line="480" w:lineRule="auto"/>
        <w:ind w:firstLine="720"/>
        <w:rPr>
          <w:szCs w:val="24"/>
        </w:rPr>
      </w:pPr>
      <w:r>
        <w:rPr>
          <w:szCs w:val="24"/>
        </w:rPr>
        <w:lastRenderedPageBreak/>
        <w:t>The second source is the Ethnic Power Relations family of datasets (Vogt et al. forthcoming), particularly the geo-located data in GeoEPR (Wuchperfenning et al. 2011) and the identification of transborder ethnic kin (TEK) in neighboring states (Cederman et al. 2013).</w:t>
      </w:r>
      <w:r>
        <w:rPr>
          <w:rStyle w:val="FootnoteReference"/>
          <w:szCs w:val="24"/>
        </w:rPr>
        <w:footnoteReference w:id="2"/>
      </w:r>
      <w:r>
        <w:rPr>
          <w:szCs w:val="24"/>
        </w:rPr>
        <w:t xml:space="preserve">  </w:t>
      </w:r>
      <w:r w:rsidR="00AD4CC5">
        <w:rPr>
          <w:szCs w:val="24"/>
        </w:rPr>
        <w:t>Two</w:t>
      </w:r>
      <w:r>
        <w:rPr>
          <w:szCs w:val="24"/>
        </w:rPr>
        <w:t xml:space="preserve"> </w:t>
      </w:r>
      <w:r w:rsidR="00AD4CC5">
        <w:rPr>
          <w:szCs w:val="24"/>
        </w:rPr>
        <w:t>sets of changes</w:t>
      </w:r>
      <w:r>
        <w:rPr>
          <w:szCs w:val="24"/>
        </w:rPr>
        <w:t xml:space="preserve"> were needed to make these data appropriate for our study:</w:t>
      </w:r>
    </w:p>
    <w:p w:rsidR="00F12428" w:rsidRDefault="00F12428" w:rsidP="00F12428">
      <w:pPr>
        <w:spacing w:line="480" w:lineRule="auto"/>
        <w:ind w:firstLine="720"/>
        <w:rPr>
          <w:szCs w:val="24"/>
        </w:rPr>
      </w:pPr>
      <w:r>
        <w:rPr>
          <w:szCs w:val="24"/>
        </w:rPr>
        <w:t xml:space="preserve">1. Four countries—Somalia, Lesotho, Swaziland, and Burkina Faso—were coded as having no politically relevant ethnic groups.  In these countries, the EPR identify a single </w:t>
      </w:r>
      <w:r w:rsidR="00E87C51">
        <w:rPr>
          <w:szCs w:val="24"/>
        </w:rPr>
        <w:t>group that</w:t>
      </w:r>
      <w:r>
        <w:rPr>
          <w:szCs w:val="24"/>
        </w:rPr>
        <w:t xml:space="preserve"> accounts for either all (Somalis, Sotho, Swazi) or most (Gur in Burkina Faso) of the population.   They are nonetheless coded as politically “irrelevant” presumably because, given the hegemonic position of these groups, these ethnic identities </w:t>
      </w:r>
      <w:r w:rsidR="00630666">
        <w:rPr>
          <w:szCs w:val="24"/>
        </w:rPr>
        <w:t>do</w:t>
      </w:r>
      <w:r>
        <w:rPr>
          <w:szCs w:val="24"/>
        </w:rPr>
        <w:t xml:space="preserve"> not </w:t>
      </w:r>
      <w:r w:rsidR="00630666">
        <w:rPr>
          <w:szCs w:val="24"/>
        </w:rPr>
        <w:t xml:space="preserve">comprise </w:t>
      </w:r>
      <w:r>
        <w:rPr>
          <w:szCs w:val="24"/>
        </w:rPr>
        <w:t xml:space="preserve">politically salient </w:t>
      </w:r>
      <w:r w:rsidR="00630666">
        <w:rPr>
          <w:szCs w:val="24"/>
        </w:rPr>
        <w:t xml:space="preserve">cleavages </w:t>
      </w:r>
      <w:r>
        <w:rPr>
          <w:szCs w:val="24"/>
        </w:rPr>
        <w:t>domestically.  They are, however, politically salient internationally.  For this reason, we recode these groups as politically relevant, and code their power status as “hegemonic.”</w:t>
      </w:r>
      <w:r w:rsidR="00630666">
        <w:rPr>
          <w:szCs w:val="24"/>
        </w:rPr>
        <w:t xml:space="preserve"> For the purposes of geo-locating these groups (which are omitted from GeoEPR),</w:t>
      </w:r>
      <w:r>
        <w:rPr>
          <w:szCs w:val="24"/>
        </w:rPr>
        <w:t xml:space="preserve"> </w:t>
      </w:r>
      <w:r w:rsidR="00630666">
        <w:rPr>
          <w:szCs w:val="24"/>
        </w:rPr>
        <w:t xml:space="preserve">the Somali, Sotho, and Swazi were mapped as </w:t>
      </w:r>
      <w:r>
        <w:rPr>
          <w:szCs w:val="24"/>
        </w:rPr>
        <w:t xml:space="preserve">encompassing the entire territory of their respective countries.  </w:t>
      </w:r>
      <w:r w:rsidR="00630666">
        <w:rPr>
          <w:szCs w:val="24"/>
        </w:rPr>
        <w:t xml:space="preserve">For the Gur in Burkina Faso, we used </w:t>
      </w:r>
      <w:r w:rsidR="00630666" w:rsidRPr="00630666">
        <w:rPr>
          <w:i/>
          <w:szCs w:val="24"/>
        </w:rPr>
        <w:t>Ethnologue</w:t>
      </w:r>
      <w:r w:rsidR="004D1733">
        <w:rPr>
          <w:i/>
          <w:szCs w:val="24"/>
        </w:rPr>
        <w:t xml:space="preserve"> </w:t>
      </w:r>
      <w:r w:rsidR="004D1733" w:rsidRPr="004D1733">
        <w:rPr>
          <w:szCs w:val="24"/>
        </w:rPr>
        <w:t>and the associated</w:t>
      </w:r>
      <w:r w:rsidR="004D1733">
        <w:rPr>
          <w:i/>
          <w:szCs w:val="24"/>
        </w:rPr>
        <w:t xml:space="preserve"> World Language Mapping System</w:t>
      </w:r>
      <w:r w:rsidR="00630666">
        <w:rPr>
          <w:szCs w:val="24"/>
        </w:rPr>
        <w:t>, to identify regions inhabited by groups in the Gur language family.</w:t>
      </w:r>
    </w:p>
    <w:p w:rsidR="004F5A26" w:rsidRDefault="004D1733" w:rsidP="004F5A26">
      <w:pPr>
        <w:spacing w:line="480" w:lineRule="auto"/>
        <w:ind w:firstLine="720"/>
        <w:rPr>
          <w:szCs w:val="24"/>
        </w:rPr>
      </w:pPr>
      <w:r>
        <w:rPr>
          <w:szCs w:val="24"/>
        </w:rPr>
        <w:t>2. In three countries—Liberia, Zimbabwe, and South Africa—EPR aggregates all of the African ethnic groups at the time of independence into undifferentiated umbrella categories: Indigenous Peoples, Africans, and Blacks. This coding reflects the nature of the political cleavages in those countries at the time</w:t>
      </w:r>
      <w:r w:rsidR="009D664E">
        <w:rPr>
          <w:szCs w:val="24"/>
        </w:rPr>
        <w:t xml:space="preserve">, and it is only later that EPR </w:t>
      </w:r>
      <w:r w:rsidR="00AD4CC5">
        <w:rPr>
          <w:szCs w:val="24"/>
        </w:rPr>
        <w:t>identifies</w:t>
      </w:r>
      <w:r w:rsidR="009D664E">
        <w:rPr>
          <w:szCs w:val="24"/>
        </w:rPr>
        <w:t xml:space="preserve"> politically salient cleavages corresponding to the ethnic groups within these larger aggregations.</w:t>
      </w:r>
      <w:r>
        <w:rPr>
          <w:szCs w:val="24"/>
        </w:rPr>
        <w:t xml:space="preserve"> </w:t>
      </w:r>
      <w:r w:rsidR="009D664E">
        <w:rPr>
          <w:szCs w:val="24"/>
        </w:rPr>
        <w:t xml:space="preserve"> This coding rule makes sense given the primary purpose of the EPR data, but it is less appropriate when thinking </w:t>
      </w:r>
      <w:r w:rsidR="009D664E">
        <w:rPr>
          <w:szCs w:val="24"/>
        </w:rPr>
        <w:lastRenderedPageBreak/>
        <w:t>about cross-border ethnic attachments, as ethnic groups in neighboring states can presumably identify the areas inhabited by their kin within these umbrella groups.  For example, the Sotho in Lesotho did not see Blacks in South Africa as an undifferentiated mass of ethnic kin, as the TEK data imply; presumably, they could identify the regions where fellow Sotho lived.  Thus, for the purposes of locating border segments that partition ethnic kin, we break these umbrella groups into their constituent part</w:t>
      </w:r>
      <w:r w:rsidR="00AD4CC5">
        <w:rPr>
          <w:szCs w:val="24"/>
        </w:rPr>
        <w:t xml:space="preserve">s, </w:t>
      </w:r>
      <w:r w:rsidR="009D664E">
        <w:rPr>
          <w:szCs w:val="24"/>
        </w:rPr>
        <w:t>relying on polygons corresponding to later time periods, when these groups are coded as distinct.</w:t>
      </w:r>
      <w:r w:rsidR="00AD4CC5">
        <w:rPr>
          <w:szCs w:val="24"/>
        </w:rPr>
        <w:t xml:space="preserve">  Each constituent group still retains the power status of its umbrella group at the time of independence (i.e., discriminated).</w:t>
      </w:r>
    </w:p>
    <w:p w:rsidR="00AD4CC5" w:rsidRDefault="00AD4CC5" w:rsidP="004F5A26">
      <w:pPr>
        <w:spacing w:line="480" w:lineRule="auto"/>
        <w:ind w:firstLine="720"/>
        <w:rPr>
          <w:szCs w:val="24"/>
        </w:rPr>
      </w:pPr>
      <w:r>
        <w:rPr>
          <w:szCs w:val="24"/>
        </w:rPr>
        <w:t>From these two data sets, several variables were created.  When a variable was unique to one of the sources, we indicate that below in parentheses.</w:t>
      </w:r>
    </w:p>
    <w:p w:rsidR="004F5A26" w:rsidRPr="004F5A26" w:rsidRDefault="004F5A26" w:rsidP="00941E10">
      <w:pPr>
        <w:spacing w:line="480" w:lineRule="auto"/>
      </w:pPr>
    </w:p>
    <w:p w:rsidR="004C483E" w:rsidRDefault="00CB50CB" w:rsidP="00941E10">
      <w:pPr>
        <w:spacing w:line="480" w:lineRule="auto"/>
        <w:rPr>
          <w:szCs w:val="24"/>
        </w:rPr>
      </w:pPr>
      <w:r w:rsidRPr="00CB50CB">
        <w:rPr>
          <w:i/>
        </w:rPr>
        <w:t>Partition</w:t>
      </w:r>
      <w:r w:rsidRPr="00CB50CB">
        <w:t xml:space="preserve">:  </w:t>
      </w:r>
      <w:r w:rsidR="007D2335">
        <w:t>This variable i</w:t>
      </w:r>
      <w:r>
        <w:t xml:space="preserve">ndicates whether or not the same ethnic group was located on both sides of the border segment. </w:t>
      </w:r>
      <w:r w:rsidR="004C483E">
        <w:t>For the GREG data, this variable captures segments that have the same group on both sides of the border.</w:t>
      </w:r>
      <w:r w:rsidR="004C483E">
        <w:rPr>
          <w:rStyle w:val="FootnoteReference"/>
        </w:rPr>
        <w:footnoteReference w:id="3"/>
      </w:r>
      <w:r w:rsidR="004C483E">
        <w:t xml:space="preserve">  </w:t>
      </w:r>
      <w:r w:rsidR="00AD4CC5">
        <w:rPr>
          <w:szCs w:val="24"/>
        </w:rPr>
        <w:t>For the EPR data, this variable captures whether the border segment separated a politically relevant ethnic group from transborder kin</w:t>
      </w:r>
      <w:r w:rsidR="004C0444">
        <w:rPr>
          <w:szCs w:val="24"/>
        </w:rPr>
        <w:t>, based on the GeoEPR map</w:t>
      </w:r>
      <w:r w:rsidR="004C483E">
        <w:rPr>
          <w:szCs w:val="24"/>
        </w:rPr>
        <w:t>.</w:t>
      </w:r>
      <w:r w:rsidR="00CA5F7E">
        <w:rPr>
          <w:szCs w:val="24"/>
        </w:rPr>
        <w:t xml:space="preserve">  </w:t>
      </w:r>
      <w:r w:rsidR="004C483E">
        <w:rPr>
          <w:szCs w:val="24"/>
        </w:rPr>
        <w:t>S</w:t>
      </w:r>
      <w:r w:rsidR="006C35E2">
        <w:rPr>
          <w:szCs w:val="24"/>
        </w:rPr>
        <w:t>ince</w:t>
      </w:r>
      <w:r w:rsidR="004C483E">
        <w:rPr>
          <w:szCs w:val="24"/>
        </w:rPr>
        <w:t xml:space="preserve"> both</w:t>
      </w:r>
      <w:r w:rsidR="006C35E2">
        <w:rPr>
          <w:szCs w:val="24"/>
        </w:rPr>
        <w:t xml:space="preserve"> GREG and EPR use</w:t>
      </w:r>
      <w:r w:rsidR="004C483E">
        <w:rPr>
          <w:szCs w:val="24"/>
        </w:rPr>
        <w:t xml:space="preserve"> th</w:t>
      </w:r>
      <w:r w:rsidR="006C35E2">
        <w:rPr>
          <w:szCs w:val="24"/>
        </w:rPr>
        <w:t>e n</w:t>
      </w:r>
      <w:r w:rsidR="004C483E">
        <w:rPr>
          <w:szCs w:val="24"/>
        </w:rPr>
        <w:t>ational borders from a different base map—the now-d</w:t>
      </w:r>
      <w:r w:rsidR="006C35E2">
        <w:rPr>
          <w:szCs w:val="24"/>
        </w:rPr>
        <w:t xml:space="preserve">iscontinued </w:t>
      </w:r>
      <w:r w:rsidR="004C483E">
        <w:rPr>
          <w:szCs w:val="24"/>
        </w:rPr>
        <w:t>Digital Charts of the World</w:t>
      </w:r>
      <w:r w:rsidR="006C35E2">
        <w:rPr>
          <w:szCs w:val="24"/>
        </w:rPr>
        <w:t xml:space="preserve"> (DCW)—we first identified partitioning border segments on that map and then joined them to the segments in our base map on the basis of proximity.</w:t>
      </w:r>
    </w:p>
    <w:p w:rsidR="006C35E2" w:rsidRDefault="006C35E2" w:rsidP="00941E10">
      <w:pPr>
        <w:spacing w:line="480" w:lineRule="auto"/>
        <w:rPr>
          <w:szCs w:val="24"/>
        </w:rPr>
      </w:pPr>
    </w:p>
    <w:p w:rsidR="004F5A26" w:rsidRDefault="00CA5F7E" w:rsidP="00941E10">
      <w:pPr>
        <w:spacing w:line="480" w:lineRule="auto"/>
        <w:rPr>
          <w:szCs w:val="24"/>
        </w:rPr>
      </w:pPr>
      <w:r>
        <w:rPr>
          <w:szCs w:val="24"/>
        </w:rPr>
        <w:lastRenderedPageBreak/>
        <w:t>In the main text, we do not restrict the extent of the ethnic overhang required to consider a group partitioned; in Appendix C, we report tests with minimum thresholds for how much a group’s area has to be on each side of the border for the group to be considered partitioned.</w:t>
      </w:r>
    </w:p>
    <w:p w:rsidR="009673A0" w:rsidRDefault="009673A0" w:rsidP="00941E10">
      <w:pPr>
        <w:spacing w:line="480" w:lineRule="auto"/>
        <w:rPr>
          <w:szCs w:val="28"/>
        </w:rPr>
      </w:pPr>
    </w:p>
    <w:p w:rsidR="009673A0" w:rsidRDefault="009673A0" w:rsidP="00941E10">
      <w:pPr>
        <w:spacing w:line="480" w:lineRule="auto"/>
        <w:rPr>
          <w:szCs w:val="28"/>
        </w:rPr>
      </w:pPr>
      <w:r w:rsidRPr="000F2EB5">
        <w:rPr>
          <w:i/>
          <w:szCs w:val="28"/>
        </w:rPr>
        <w:t>Partition and 1</w:t>
      </w:r>
      <w:r w:rsidRPr="000F2EB5">
        <w:rPr>
          <w:i/>
          <w:szCs w:val="28"/>
          <w:vertAlign w:val="superscript"/>
        </w:rPr>
        <w:t>st</w:t>
      </w:r>
      <w:r w:rsidRPr="000F2EB5">
        <w:rPr>
          <w:i/>
          <w:szCs w:val="28"/>
        </w:rPr>
        <w:t xml:space="preserve"> Leader</w:t>
      </w:r>
      <w:r w:rsidR="00AD4CC5" w:rsidRPr="00AD4CC5">
        <w:rPr>
          <w:szCs w:val="28"/>
        </w:rPr>
        <w:t xml:space="preserve"> (GREG</w:t>
      </w:r>
      <w:r w:rsidR="00B50028">
        <w:rPr>
          <w:szCs w:val="28"/>
        </w:rPr>
        <w:t>, Murdock</w:t>
      </w:r>
      <w:r w:rsidR="00AD4CC5" w:rsidRPr="00AD4CC5">
        <w:rPr>
          <w:szCs w:val="28"/>
        </w:rPr>
        <w:t>)</w:t>
      </w:r>
      <w:r w:rsidR="007D2335">
        <w:rPr>
          <w:szCs w:val="28"/>
        </w:rPr>
        <w:t>: This variable i</w:t>
      </w:r>
      <w:r>
        <w:rPr>
          <w:szCs w:val="28"/>
        </w:rPr>
        <w:t xml:space="preserve">ndicates whether a segment partitions </w:t>
      </w:r>
      <w:r w:rsidR="000F2EB5">
        <w:rPr>
          <w:szCs w:val="28"/>
        </w:rPr>
        <w:t>the ethnic</w:t>
      </w:r>
      <w:r>
        <w:rPr>
          <w:szCs w:val="28"/>
        </w:rPr>
        <w:t xml:space="preserve"> </w:t>
      </w:r>
      <w:r w:rsidR="000F2EB5">
        <w:rPr>
          <w:szCs w:val="28"/>
        </w:rPr>
        <w:t>group</w:t>
      </w:r>
      <w:r w:rsidR="00AD4CC5">
        <w:rPr>
          <w:szCs w:val="28"/>
        </w:rPr>
        <w:t xml:space="preserve"> that produced the head of state of the claimant country at the time the dyad became </w:t>
      </w:r>
      <w:r w:rsidR="008D11BF">
        <w:rPr>
          <w:szCs w:val="28"/>
        </w:rPr>
        <w:t>independent</w:t>
      </w:r>
      <w:r w:rsidR="00AD4CC5">
        <w:rPr>
          <w:szCs w:val="28"/>
        </w:rPr>
        <w:t>.</w:t>
      </w:r>
      <w:r w:rsidR="000F2EB5">
        <w:rPr>
          <w:szCs w:val="28"/>
        </w:rPr>
        <w:t xml:space="preserve">  </w:t>
      </w:r>
      <w:r w:rsidR="00AD4CC5">
        <w:rPr>
          <w:szCs w:val="28"/>
        </w:rPr>
        <w:t>Leaders’</w:t>
      </w:r>
      <w:r w:rsidR="000F2EB5">
        <w:rPr>
          <w:szCs w:val="28"/>
        </w:rPr>
        <w:t xml:space="preserve"> ethnicity was identified using data from Fearon</w:t>
      </w:r>
      <w:r w:rsidR="00BB475B">
        <w:rPr>
          <w:szCs w:val="28"/>
        </w:rPr>
        <w:t xml:space="preserve">, Kasara, and Laitin </w:t>
      </w:r>
      <w:r w:rsidR="000F2EB5">
        <w:rPr>
          <w:szCs w:val="28"/>
        </w:rPr>
        <w:t xml:space="preserve">(2007).  These ethnicities were then matched to GREG </w:t>
      </w:r>
      <w:r w:rsidR="00B50028">
        <w:rPr>
          <w:szCs w:val="28"/>
        </w:rPr>
        <w:t xml:space="preserve">(and Murdock) </w:t>
      </w:r>
      <w:r w:rsidR="000F2EB5">
        <w:rPr>
          <w:szCs w:val="28"/>
        </w:rPr>
        <w:t>groups through additional research by the authors.  In some instances, leaders were attached to GREG groups based on the location of their birthplace or other circumstantial evidence.   In a few cases, a match could not be found, but we could rule out the possibility that the leader’s group was partitioned by a border.</w:t>
      </w:r>
    </w:p>
    <w:p w:rsidR="000F2EB5" w:rsidRDefault="000F2EB5" w:rsidP="00941E10">
      <w:pPr>
        <w:spacing w:line="480" w:lineRule="auto"/>
        <w:rPr>
          <w:szCs w:val="28"/>
        </w:rPr>
      </w:pPr>
    </w:p>
    <w:p w:rsidR="00CB50CB" w:rsidRDefault="000F2EB5" w:rsidP="00941E10">
      <w:pPr>
        <w:spacing w:line="480" w:lineRule="auto"/>
        <w:rPr>
          <w:szCs w:val="28"/>
        </w:rPr>
      </w:pPr>
      <w:r w:rsidRPr="00CD216D">
        <w:rPr>
          <w:i/>
          <w:szCs w:val="28"/>
        </w:rPr>
        <w:t xml:space="preserve">Partition and </w:t>
      </w:r>
      <w:r w:rsidR="008B5BDA">
        <w:rPr>
          <w:i/>
          <w:szCs w:val="28"/>
        </w:rPr>
        <w:t>n</w:t>
      </w:r>
      <w:r w:rsidRPr="00CD216D">
        <w:rPr>
          <w:i/>
          <w:szCs w:val="28"/>
        </w:rPr>
        <w:t xml:space="preserve">ational </w:t>
      </w:r>
      <w:r w:rsidR="00B50028">
        <w:rPr>
          <w:i/>
          <w:szCs w:val="28"/>
        </w:rPr>
        <w:t>c</w:t>
      </w:r>
      <w:r w:rsidR="00B50028" w:rsidRPr="00CD216D">
        <w:rPr>
          <w:i/>
          <w:szCs w:val="28"/>
        </w:rPr>
        <w:t>apital</w:t>
      </w:r>
      <w:r w:rsidR="00B50028">
        <w:rPr>
          <w:i/>
          <w:szCs w:val="28"/>
        </w:rPr>
        <w:t xml:space="preserve"> </w:t>
      </w:r>
      <w:r w:rsidR="00B50028" w:rsidRPr="00AD4CC5">
        <w:rPr>
          <w:szCs w:val="28"/>
        </w:rPr>
        <w:t>(</w:t>
      </w:r>
      <w:r w:rsidR="00AD4CC5" w:rsidRPr="00AD4CC5">
        <w:rPr>
          <w:szCs w:val="28"/>
        </w:rPr>
        <w:t>GREG</w:t>
      </w:r>
      <w:r w:rsidR="00B50028">
        <w:rPr>
          <w:szCs w:val="28"/>
        </w:rPr>
        <w:t>, Murdock</w:t>
      </w:r>
      <w:r w:rsidR="00AD4CC5" w:rsidRPr="00AD4CC5">
        <w:rPr>
          <w:szCs w:val="28"/>
        </w:rPr>
        <w:t>)</w:t>
      </w:r>
      <w:r>
        <w:rPr>
          <w:szCs w:val="28"/>
        </w:rPr>
        <w:t xml:space="preserve">: </w:t>
      </w:r>
      <w:r w:rsidR="007D2335">
        <w:rPr>
          <w:szCs w:val="28"/>
        </w:rPr>
        <w:t>This variable i</w:t>
      </w:r>
      <w:r>
        <w:rPr>
          <w:szCs w:val="28"/>
        </w:rPr>
        <w:t xml:space="preserve">ndicates whether a segment partitions the ethnic group </w:t>
      </w:r>
      <w:r w:rsidR="00CD216D">
        <w:rPr>
          <w:szCs w:val="28"/>
        </w:rPr>
        <w:t xml:space="preserve">whose homeland includes the capital of </w:t>
      </w:r>
      <w:r>
        <w:rPr>
          <w:szCs w:val="28"/>
        </w:rPr>
        <w:t>the potential claimant state in the directed dyad</w:t>
      </w:r>
      <w:r w:rsidR="00CD216D">
        <w:rPr>
          <w:szCs w:val="28"/>
        </w:rPr>
        <w:t>.</w:t>
      </w:r>
    </w:p>
    <w:p w:rsidR="006C6697" w:rsidRDefault="006C6697" w:rsidP="00941E10">
      <w:pPr>
        <w:spacing w:line="480" w:lineRule="auto"/>
        <w:rPr>
          <w:szCs w:val="28"/>
        </w:rPr>
      </w:pPr>
    </w:p>
    <w:p w:rsidR="000F11C4" w:rsidRDefault="000F11C4" w:rsidP="00941E10">
      <w:pPr>
        <w:spacing w:line="480" w:lineRule="auto"/>
        <w:rPr>
          <w:szCs w:val="28"/>
        </w:rPr>
      </w:pPr>
      <w:r w:rsidRPr="000F2EB5">
        <w:rPr>
          <w:i/>
          <w:szCs w:val="28"/>
        </w:rPr>
        <w:t xml:space="preserve">Partition and </w:t>
      </w:r>
      <w:r>
        <w:rPr>
          <w:i/>
          <w:szCs w:val="28"/>
        </w:rPr>
        <w:t>In Control</w:t>
      </w:r>
      <w:r w:rsidRPr="00AD4CC5">
        <w:rPr>
          <w:szCs w:val="28"/>
        </w:rPr>
        <w:t xml:space="preserve"> (</w:t>
      </w:r>
      <w:r>
        <w:rPr>
          <w:szCs w:val="28"/>
        </w:rPr>
        <w:t>EPR</w:t>
      </w:r>
      <w:r w:rsidRPr="00AD4CC5">
        <w:rPr>
          <w:szCs w:val="28"/>
        </w:rPr>
        <w:t>)</w:t>
      </w:r>
      <w:r>
        <w:rPr>
          <w:szCs w:val="28"/>
        </w:rPr>
        <w:t>: This variable indicates whether a segment partitions an ethnic group whose power status in the claimant state was hegemonic, dominant, or monopoly at the time of the dyad’s birth.</w:t>
      </w:r>
    </w:p>
    <w:p w:rsidR="000F11C4" w:rsidRDefault="000F11C4" w:rsidP="00941E10">
      <w:pPr>
        <w:spacing w:line="480" w:lineRule="auto"/>
        <w:rPr>
          <w:szCs w:val="28"/>
        </w:rPr>
      </w:pPr>
    </w:p>
    <w:p w:rsidR="000F11C4" w:rsidRDefault="000F11C4" w:rsidP="000F11C4">
      <w:pPr>
        <w:spacing w:line="480" w:lineRule="auto"/>
        <w:rPr>
          <w:szCs w:val="28"/>
        </w:rPr>
      </w:pPr>
      <w:r w:rsidRPr="000F2EB5">
        <w:rPr>
          <w:i/>
          <w:szCs w:val="28"/>
        </w:rPr>
        <w:lastRenderedPageBreak/>
        <w:t xml:space="preserve">Partition and </w:t>
      </w:r>
      <w:r>
        <w:rPr>
          <w:i/>
          <w:szCs w:val="28"/>
        </w:rPr>
        <w:t>In Coalition</w:t>
      </w:r>
      <w:r w:rsidRPr="00AD4CC5">
        <w:rPr>
          <w:szCs w:val="28"/>
        </w:rPr>
        <w:t xml:space="preserve"> (</w:t>
      </w:r>
      <w:r>
        <w:rPr>
          <w:szCs w:val="28"/>
        </w:rPr>
        <w:t>EPR</w:t>
      </w:r>
      <w:r w:rsidRPr="00AD4CC5">
        <w:rPr>
          <w:szCs w:val="28"/>
        </w:rPr>
        <w:t>)</w:t>
      </w:r>
      <w:r>
        <w:rPr>
          <w:szCs w:val="28"/>
        </w:rPr>
        <w:t>: This variable indicates whether a segment partitions an ethnic group whose power status in the claimant state was senior or junior partner at the time of the dyad’s birth.</w:t>
      </w:r>
    </w:p>
    <w:p w:rsidR="00A01F7C" w:rsidRDefault="00A01F7C" w:rsidP="000F11C4">
      <w:pPr>
        <w:spacing w:line="480" w:lineRule="auto"/>
        <w:rPr>
          <w:szCs w:val="28"/>
        </w:rPr>
      </w:pPr>
    </w:p>
    <w:p w:rsidR="00A01F7C" w:rsidRDefault="00A01F7C" w:rsidP="00A01F7C">
      <w:pPr>
        <w:spacing w:line="480" w:lineRule="auto"/>
        <w:rPr>
          <w:szCs w:val="28"/>
        </w:rPr>
      </w:pPr>
      <w:r w:rsidRPr="000F2EB5">
        <w:rPr>
          <w:i/>
          <w:szCs w:val="28"/>
        </w:rPr>
        <w:t>Partition and</w:t>
      </w:r>
      <w:r>
        <w:rPr>
          <w:i/>
          <w:szCs w:val="28"/>
        </w:rPr>
        <w:t xml:space="preserve"> Powerless in Target </w:t>
      </w:r>
      <w:r w:rsidRPr="00AD4CC5">
        <w:rPr>
          <w:szCs w:val="28"/>
        </w:rPr>
        <w:t>(</w:t>
      </w:r>
      <w:r>
        <w:rPr>
          <w:szCs w:val="28"/>
        </w:rPr>
        <w:t>EPR</w:t>
      </w:r>
      <w:r w:rsidRPr="00AD4CC5">
        <w:rPr>
          <w:szCs w:val="28"/>
        </w:rPr>
        <w:t>)</w:t>
      </w:r>
      <w:r>
        <w:rPr>
          <w:szCs w:val="28"/>
        </w:rPr>
        <w:t>: This variable indicates whether a segment partitions an ethnic group whose power status in the target state was powerless, discriminated, or irrelevant at the time of the dyad’s birth.</w:t>
      </w:r>
    </w:p>
    <w:p w:rsidR="000F11C4" w:rsidRDefault="000F11C4" w:rsidP="00941E10">
      <w:pPr>
        <w:spacing w:line="480" w:lineRule="auto"/>
        <w:rPr>
          <w:szCs w:val="28"/>
        </w:rPr>
      </w:pPr>
    </w:p>
    <w:p w:rsidR="00CD216D" w:rsidRDefault="00CD216D" w:rsidP="00941E10">
      <w:pPr>
        <w:spacing w:line="480" w:lineRule="auto"/>
        <w:rPr>
          <w:szCs w:val="28"/>
        </w:rPr>
      </w:pPr>
      <w:r w:rsidRPr="00CD216D">
        <w:rPr>
          <w:i/>
          <w:szCs w:val="28"/>
        </w:rPr>
        <w:t>Partition</w:t>
      </w:r>
      <w:r w:rsidR="00820F42">
        <w:rPr>
          <w:i/>
          <w:szCs w:val="28"/>
        </w:rPr>
        <w:t>ed</w:t>
      </w:r>
      <w:r w:rsidRPr="00CD216D">
        <w:rPr>
          <w:i/>
          <w:szCs w:val="28"/>
        </w:rPr>
        <w:t xml:space="preserve"> </w:t>
      </w:r>
      <w:r w:rsidR="008B5BDA">
        <w:rPr>
          <w:i/>
          <w:szCs w:val="28"/>
        </w:rPr>
        <w:t>g</w:t>
      </w:r>
      <w:r w:rsidRPr="00CD216D">
        <w:rPr>
          <w:i/>
          <w:szCs w:val="28"/>
        </w:rPr>
        <w:t xml:space="preserve">roup </w:t>
      </w:r>
      <w:r w:rsidR="008B5BDA">
        <w:rPr>
          <w:i/>
          <w:szCs w:val="28"/>
        </w:rPr>
        <w:t>population s</w:t>
      </w:r>
      <w:r w:rsidRPr="00CD216D">
        <w:rPr>
          <w:i/>
          <w:szCs w:val="28"/>
        </w:rPr>
        <w:t>hare</w:t>
      </w:r>
      <w:r>
        <w:rPr>
          <w:szCs w:val="28"/>
        </w:rPr>
        <w:t xml:space="preserve">: For segments that partition a group, </w:t>
      </w:r>
      <w:r w:rsidR="000F11C4">
        <w:rPr>
          <w:szCs w:val="28"/>
        </w:rPr>
        <w:t xml:space="preserve">two </w:t>
      </w:r>
      <w:r w:rsidR="00AD4CC5">
        <w:rPr>
          <w:szCs w:val="28"/>
        </w:rPr>
        <w:t xml:space="preserve">variables </w:t>
      </w:r>
      <w:r w:rsidR="000F11C4">
        <w:rPr>
          <w:szCs w:val="28"/>
        </w:rPr>
        <w:t>measure</w:t>
      </w:r>
      <w:r w:rsidR="00AD4CC5">
        <w:rPr>
          <w:szCs w:val="28"/>
        </w:rPr>
        <w:t xml:space="preserve"> the population </w:t>
      </w:r>
      <w:r w:rsidR="000F11C4">
        <w:rPr>
          <w:szCs w:val="28"/>
        </w:rPr>
        <w:t xml:space="preserve">of the group as a percentage of total population </w:t>
      </w:r>
      <w:r w:rsidR="00AD4CC5">
        <w:rPr>
          <w:szCs w:val="28"/>
        </w:rPr>
        <w:t>in the claimant and target states</w:t>
      </w:r>
      <w:r w:rsidR="000F11C4">
        <w:rPr>
          <w:szCs w:val="28"/>
        </w:rPr>
        <w:t>, respectively</w:t>
      </w:r>
      <w:r w:rsidR="00AD4CC5">
        <w:rPr>
          <w:szCs w:val="28"/>
        </w:rPr>
        <w:t xml:space="preserve">.  </w:t>
      </w:r>
      <w:r w:rsidR="000F11C4">
        <w:rPr>
          <w:szCs w:val="28"/>
        </w:rPr>
        <w:t>For the GREG</w:t>
      </w:r>
      <w:r w:rsidR="00B50028">
        <w:rPr>
          <w:szCs w:val="28"/>
        </w:rPr>
        <w:t xml:space="preserve"> (and Murdock) </w:t>
      </w:r>
      <w:r w:rsidR="000F11C4">
        <w:rPr>
          <w:szCs w:val="28"/>
        </w:rPr>
        <w:t>data, g</w:t>
      </w:r>
      <w:r w:rsidR="00EF48AF">
        <w:rPr>
          <w:szCs w:val="28"/>
        </w:rPr>
        <w:t xml:space="preserve">roup </w:t>
      </w:r>
      <w:r w:rsidR="000F11C4">
        <w:rPr>
          <w:szCs w:val="28"/>
        </w:rPr>
        <w:t xml:space="preserve">and national </w:t>
      </w:r>
      <w:r w:rsidR="00EF48AF">
        <w:rPr>
          <w:szCs w:val="28"/>
        </w:rPr>
        <w:t>populations were estimated using spatially coded 1960 population data from provided by the United Nations Environment Programme/Global Resource Information Database (UNEP/GRID), Sioux Falls.</w:t>
      </w:r>
      <w:r w:rsidR="00820F42">
        <w:rPr>
          <w:rStyle w:val="FootnoteReference"/>
          <w:szCs w:val="28"/>
        </w:rPr>
        <w:footnoteReference w:id="4"/>
      </w:r>
      <w:r w:rsidR="00EF48AF">
        <w:rPr>
          <w:szCs w:val="28"/>
        </w:rPr>
        <w:t xml:space="preserve">  For each GREG </w:t>
      </w:r>
      <w:r w:rsidR="00B50028">
        <w:rPr>
          <w:szCs w:val="28"/>
        </w:rPr>
        <w:t xml:space="preserve">(and Murdock) </w:t>
      </w:r>
      <w:r w:rsidR="00EF48AF">
        <w:rPr>
          <w:szCs w:val="28"/>
        </w:rPr>
        <w:t>group in each country, the group’s population share was assumed to equal the share of the country’s population residing in the group’</w:t>
      </w:r>
      <w:r w:rsidR="00820F42">
        <w:rPr>
          <w:szCs w:val="28"/>
        </w:rPr>
        <w:t>s geographic homeland.</w:t>
      </w:r>
      <w:r w:rsidR="000F11C4">
        <w:rPr>
          <w:szCs w:val="28"/>
        </w:rPr>
        <w:t xml:space="preserve">  Population shares for EPR groups are reported in that data set.</w:t>
      </w:r>
    </w:p>
    <w:p w:rsidR="00CB50CB" w:rsidRDefault="00CB50CB" w:rsidP="00941E10">
      <w:pPr>
        <w:spacing w:line="480" w:lineRule="auto"/>
      </w:pPr>
    </w:p>
    <w:p w:rsidR="0034323C" w:rsidRDefault="0034323C" w:rsidP="0034323C">
      <w:pPr>
        <w:spacing w:line="480" w:lineRule="auto"/>
      </w:pPr>
      <w:r>
        <w:rPr>
          <w:i/>
        </w:rPr>
        <w:t>Border fractionalization of claimant</w:t>
      </w:r>
      <w:r>
        <w:t xml:space="preserve">: This variable counts the number of ethnic groups partitioned by all of the borders of the potential claimant state.  Versions of this variable were created for </w:t>
      </w:r>
      <w:r w:rsidR="00B50028">
        <w:t>the</w:t>
      </w:r>
      <w:r>
        <w:t xml:space="preserve"> GREG</w:t>
      </w:r>
      <w:r w:rsidR="00B50028">
        <w:t>, Murdock</w:t>
      </w:r>
      <w:r w:rsidR="008D11BF">
        <w:t xml:space="preserve">, </w:t>
      </w:r>
      <w:r>
        <w:t>and EPR groups.</w:t>
      </w:r>
    </w:p>
    <w:p w:rsidR="0034323C" w:rsidRDefault="0034323C" w:rsidP="00941E10">
      <w:pPr>
        <w:spacing w:line="480" w:lineRule="auto"/>
        <w:rPr>
          <w:i/>
        </w:rPr>
      </w:pPr>
    </w:p>
    <w:p w:rsidR="008D0F9B" w:rsidRDefault="008D0F9B" w:rsidP="00941E10">
      <w:pPr>
        <w:spacing w:line="480" w:lineRule="auto"/>
      </w:pPr>
      <w:r w:rsidRPr="008D0F9B">
        <w:rPr>
          <w:i/>
        </w:rPr>
        <w:lastRenderedPageBreak/>
        <w:t>Ethno-linguistic fractionalization</w:t>
      </w:r>
      <w:r>
        <w:t>: This variable measures the ethnic fractionalization of the potential claimant state.  It runs from zero to one, with higher scores corresponding to more diverse states.  The data are from Fearon and Laitin (200</w:t>
      </w:r>
      <w:r w:rsidR="00BB475B">
        <w:t>3</w:t>
      </w:r>
      <w:r>
        <w:t>).</w:t>
      </w:r>
    </w:p>
    <w:p w:rsidR="0034323C" w:rsidRPr="00CB50CB" w:rsidRDefault="0034323C" w:rsidP="00941E10">
      <w:pPr>
        <w:spacing w:line="480" w:lineRule="auto"/>
      </w:pPr>
    </w:p>
    <w:p w:rsidR="00CB50CB" w:rsidRPr="006C6697" w:rsidRDefault="00CB50CB" w:rsidP="00941E10">
      <w:pPr>
        <w:spacing w:line="480" w:lineRule="auto"/>
        <w:rPr>
          <w:b/>
        </w:rPr>
      </w:pPr>
      <w:r w:rsidRPr="006C6697">
        <w:rPr>
          <w:b/>
        </w:rPr>
        <w:t>2. Realist Variables</w:t>
      </w:r>
    </w:p>
    <w:p w:rsidR="00820F42" w:rsidRDefault="00A92705" w:rsidP="00941E10">
      <w:pPr>
        <w:spacing w:line="480" w:lineRule="auto"/>
      </w:pPr>
      <w:r w:rsidRPr="00A92705">
        <w:rPr>
          <w:i/>
        </w:rPr>
        <w:t>Capability share of claimant</w:t>
      </w:r>
      <w:r>
        <w:t xml:space="preserve">: This variable measures </w:t>
      </w:r>
      <w:r w:rsidR="00D91E65">
        <w:t>the material capabilities of the claimant state as a fraction of total dyadic capabilities.  Data are from the Correlates of War National Material Capabilities data set (Singer, Bremer, and Stuckey 1972).</w:t>
      </w:r>
      <w:r w:rsidR="00D91E65">
        <w:rPr>
          <w:rStyle w:val="FootnoteReference"/>
        </w:rPr>
        <w:footnoteReference w:id="5"/>
      </w:r>
      <w:r w:rsidR="00E3776D">
        <w:t xml:space="preserve">  The</w:t>
      </w:r>
      <w:r w:rsidR="001D7688">
        <w:t xml:space="preserve"> capability scores are measured in the year of the dyad’s independence (e.g., the later of the two independence dates).  Additional measures were taken at 1, 5, and 10 years after independence.</w:t>
      </w:r>
    </w:p>
    <w:p w:rsidR="00D91E65" w:rsidRDefault="00D91E65" w:rsidP="00941E10">
      <w:pPr>
        <w:spacing w:line="480" w:lineRule="auto"/>
      </w:pPr>
    </w:p>
    <w:p w:rsidR="001D7688" w:rsidRDefault="001D7688" w:rsidP="00941E10">
      <w:pPr>
        <w:spacing w:line="480" w:lineRule="auto"/>
      </w:pPr>
      <w:r w:rsidRPr="001D7688">
        <w:rPr>
          <w:i/>
        </w:rPr>
        <w:t>Area share of claimant</w:t>
      </w:r>
      <w:r>
        <w:t>: This variable measures the share of total dyadic land area that belongs to the claimant state.  Country areas were determined from the base</w:t>
      </w:r>
      <w:r w:rsidR="00BB475B">
        <w:t xml:space="preserve"> </w:t>
      </w:r>
      <w:r w:rsidR="008B5BDA">
        <w:t xml:space="preserve">map, </w:t>
      </w:r>
    </w:p>
    <w:p w:rsidR="001D7688" w:rsidRDefault="001D7688" w:rsidP="00941E10">
      <w:pPr>
        <w:spacing w:line="480" w:lineRule="auto"/>
      </w:pPr>
    </w:p>
    <w:p w:rsidR="001D7688" w:rsidRDefault="001D7688" w:rsidP="00941E10">
      <w:pPr>
        <w:spacing w:line="480" w:lineRule="auto"/>
      </w:pPr>
      <w:r w:rsidRPr="001D7688">
        <w:rPr>
          <w:i/>
        </w:rPr>
        <w:t>Distance from capital</w:t>
      </w:r>
      <w:r>
        <w:rPr>
          <w:i/>
        </w:rPr>
        <w:t xml:space="preserve"> of claimant</w:t>
      </w:r>
      <w:r>
        <w:t>: The variables measures the distance in kilometers from the claimant’s capital city to the border segment (logged).  An analogous variable was created for the target.</w:t>
      </w:r>
    </w:p>
    <w:p w:rsidR="00820F42" w:rsidRDefault="00820F42" w:rsidP="00941E10">
      <w:pPr>
        <w:spacing w:line="480" w:lineRule="auto"/>
      </w:pPr>
    </w:p>
    <w:p w:rsidR="00844AB0" w:rsidRDefault="008B5BDA" w:rsidP="00941E10">
      <w:pPr>
        <w:spacing w:line="480" w:lineRule="auto"/>
        <w:rPr>
          <w:szCs w:val="24"/>
        </w:rPr>
      </w:pPr>
      <w:r>
        <w:rPr>
          <w:i/>
        </w:rPr>
        <w:t>Oil in t</w:t>
      </w:r>
      <w:r w:rsidR="00844AB0" w:rsidRPr="00844AB0">
        <w:rPr>
          <w:i/>
        </w:rPr>
        <w:t>arget</w:t>
      </w:r>
      <w:r w:rsidR="00844AB0">
        <w:t xml:space="preserve">: </w:t>
      </w:r>
      <w:r w:rsidR="00F62459">
        <w:t>There are two variables.  The first is a dummy variable indicating</w:t>
      </w:r>
      <w:r w:rsidR="00844AB0">
        <w:t xml:space="preserve"> whether there </w:t>
      </w:r>
      <w:r w:rsidR="00DB1F12">
        <w:t>are</w:t>
      </w:r>
      <w:r w:rsidR="00844AB0">
        <w:t xml:space="preserve"> </w:t>
      </w:r>
      <w:r w:rsidR="00DB1F12">
        <w:t xml:space="preserve">any </w:t>
      </w:r>
      <w:r w:rsidR="00844AB0">
        <w:t>oil deposits located wi</w:t>
      </w:r>
      <w:r w:rsidR="00DB1F12">
        <w:t xml:space="preserve">thin </w:t>
      </w:r>
      <w:r w:rsidR="00F62459">
        <w:t>100</w:t>
      </w:r>
      <w:r w:rsidR="00DB1F12">
        <w:t>0km of the border segment and</w:t>
      </w:r>
      <w:r w:rsidR="00844AB0">
        <w:t xml:space="preserve"> on the side of the potential target state in the directed dyad.  </w:t>
      </w:r>
      <w:r w:rsidR="00F62459">
        <w:t xml:space="preserve">The second indicates the distance from the border segment to </w:t>
      </w:r>
      <w:r w:rsidR="00F62459">
        <w:lastRenderedPageBreak/>
        <w:t xml:space="preserve">the closest oil deposit in the target, if one exists.  </w:t>
      </w:r>
      <w:r w:rsidR="00844AB0">
        <w:t xml:space="preserve">Data are from </w:t>
      </w:r>
      <w:r w:rsidR="00844AB0" w:rsidRPr="00AA3D28">
        <w:rPr>
          <w:szCs w:val="24"/>
        </w:rPr>
        <w:t>Lujala, Rod, and Thieme (2007)</w:t>
      </w:r>
      <w:r w:rsidR="00844AB0">
        <w:rPr>
          <w:szCs w:val="24"/>
        </w:rPr>
        <w:t>.</w:t>
      </w:r>
      <w:r w:rsidR="00DB1F12">
        <w:rPr>
          <w:szCs w:val="24"/>
        </w:rPr>
        <w:t xml:space="preserve">  Note that this coding does not take into account the year that the oil deposit was discovered, as this is not known for all observed deposits.  Hence, the variable indicates whether there was ever an oil deposit near the border.</w:t>
      </w:r>
      <w:r w:rsidR="006C35E2">
        <w:rPr>
          <w:rStyle w:val="FootnoteReference"/>
          <w:szCs w:val="24"/>
        </w:rPr>
        <w:footnoteReference w:id="6"/>
      </w:r>
    </w:p>
    <w:p w:rsidR="00844AB0" w:rsidRDefault="00844AB0" w:rsidP="00941E10">
      <w:pPr>
        <w:spacing w:line="480" w:lineRule="auto"/>
        <w:rPr>
          <w:szCs w:val="24"/>
        </w:rPr>
      </w:pPr>
    </w:p>
    <w:p w:rsidR="00844AB0" w:rsidRDefault="00844AB0" w:rsidP="00941E10">
      <w:pPr>
        <w:spacing w:line="480" w:lineRule="auto"/>
        <w:rPr>
          <w:szCs w:val="24"/>
        </w:rPr>
      </w:pPr>
      <w:r w:rsidRPr="00844AB0">
        <w:rPr>
          <w:i/>
          <w:szCs w:val="24"/>
        </w:rPr>
        <w:t xml:space="preserve">Minerals in </w:t>
      </w:r>
      <w:r w:rsidR="008B5BDA">
        <w:rPr>
          <w:i/>
          <w:szCs w:val="24"/>
        </w:rPr>
        <w:t>t</w:t>
      </w:r>
      <w:r w:rsidRPr="00844AB0">
        <w:rPr>
          <w:i/>
          <w:szCs w:val="24"/>
        </w:rPr>
        <w:t>arget</w:t>
      </w:r>
      <w:r>
        <w:rPr>
          <w:szCs w:val="24"/>
        </w:rPr>
        <w:t xml:space="preserve">: </w:t>
      </w:r>
      <w:r w:rsidR="00F62459">
        <w:t>As with oil, there are two variables, one indicating whether a mineral deposit exists in the target within 1000km of the border segment, the second indicating the distance to the closest such deposit.</w:t>
      </w:r>
      <w:r>
        <w:t xml:space="preserve">  Data are from </w:t>
      </w:r>
      <w:r w:rsidR="00DB1F12">
        <w:rPr>
          <w:szCs w:val="24"/>
        </w:rPr>
        <w:t xml:space="preserve">the Mineral Resource Data System (MRDS), a coding of metallic and nonmetallic mineral resources produced by the </w:t>
      </w:r>
      <w:r w:rsidR="00DB1F12">
        <w:t>U.S. Geological Survey</w:t>
      </w:r>
      <w:r w:rsidR="00DB1F12">
        <w:rPr>
          <w:szCs w:val="24"/>
        </w:rPr>
        <w:t xml:space="preserve"> (USGS)</w:t>
      </w:r>
      <w:r>
        <w:rPr>
          <w:szCs w:val="24"/>
        </w:rPr>
        <w:t>.</w:t>
      </w:r>
      <w:r w:rsidR="00DB1F12" w:rsidRPr="00DB1F12">
        <w:rPr>
          <w:rStyle w:val="FootnoteTextChar"/>
          <w:szCs w:val="24"/>
        </w:rPr>
        <w:t xml:space="preserve"> </w:t>
      </w:r>
      <w:r w:rsidR="00DB1F12" w:rsidRPr="00AA3D28">
        <w:rPr>
          <w:rStyle w:val="FootnoteReference"/>
          <w:szCs w:val="24"/>
        </w:rPr>
        <w:footnoteReference w:id="7"/>
      </w:r>
      <w:r w:rsidR="00DB1F12">
        <w:rPr>
          <w:szCs w:val="24"/>
        </w:rPr>
        <w:t xml:space="preserve">  As above, this coding does not take into account the timing of the discovery.</w:t>
      </w:r>
    </w:p>
    <w:p w:rsidR="00844AB0" w:rsidRDefault="00844AB0" w:rsidP="00941E10">
      <w:pPr>
        <w:spacing w:line="480" w:lineRule="auto"/>
      </w:pPr>
    </w:p>
    <w:p w:rsidR="008B5BDA" w:rsidRDefault="008B5BDA" w:rsidP="00941E10">
      <w:pPr>
        <w:spacing w:line="480" w:lineRule="auto"/>
      </w:pPr>
      <w:r w:rsidRPr="008B5BDA">
        <w:rPr>
          <w:i/>
        </w:rPr>
        <w:t>Area of partitioned group in target</w:t>
      </w:r>
      <w:r w:rsidR="00EA4973">
        <w:rPr>
          <w:i/>
        </w:rPr>
        <w:t xml:space="preserve"> (claimant)</w:t>
      </w:r>
      <w:r>
        <w:t>: This variable indicates, for each segment that partitions a group, the percentage of the target</w:t>
      </w:r>
      <w:r w:rsidR="00EA4973">
        <w:t xml:space="preserve"> (claimant)</w:t>
      </w:r>
      <w:r>
        <w:t xml:space="preserve"> country’s land area that is covered by the partitioned gro</w:t>
      </w:r>
      <w:r w:rsidR="000F11C4">
        <w:t xml:space="preserve">up.  Areas determined from GREG, GeoEPR, </w:t>
      </w:r>
      <w:r>
        <w:t xml:space="preserve">and </w:t>
      </w:r>
      <w:r w:rsidR="000F11C4">
        <w:t xml:space="preserve">the </w:t>
      </w:r>
      <w:r>
        <w:t xml:space="preserve">base map. </w:t>
      </w:r>
    </w:p>
    <w:p w:rsidR="009E4013" w:rsidRDefault="009E4013" w:rsidP="00941E10">
      <w:pPr>
        <w:spacing w:line="480" w:lineRule="auto"/>
      </w:pPr>
    </w:p>
    <w:p w:rsidR="008B5BDA" w:rsidRPr="00CB50CB" w:rsidRDefault="008B5BDA" w:rsidP="00941E10">
      <w:pPr>
        <w:spacing w:line="480" w:lineRule="auto"/>
      </w:pPr>
      <w:r w:rsidRPr="008B5BDA">
        <w:rPr>
          <w:i/>
        </w:rPr>
        <w:t>Minerals in partitioned group in target</w:t>
      </w:r>
      <w:r>
        <w:t xml:space="preserve">: This is a dummy variable indicating, for each segment that partitions a group, whether the </w:t>
      </w:r>
      <w:r w:rsidR="009E4013">
        <w:t>homeland</w:t>
      </w:r>
      <w:r>
        <w:t xml:space="preserve"> of the group </w:t>
      </w:r>
      <w:r w:rsidR="009E4013">
        <w:t>in the target state i</w:t>
      </w:r>
      <w:r>
        <w:t>ncludes at least one mineral deposit</w:t>
      </w:r>
      <w:r w:rsidR="009E4013">
        <w:t>.</w:t>
      </w:r>
    </w:p>
    <w:p w:rsidR="00CB50CB" w:rsidRPr="00CB50CB" w:rsidRDefault="00CB50CB" w:rsidP="00941E10">
      <w:pPr>
        <w:spacing w:line="480" w:lineRule="auto"/>
      </w:pPr>
    </w:p>
    <w:p w:rsidR="00CB50CB" w:rsidRPr="006C6697" w:rsidRDefault="00CB50CB" w:rsidP="00941E10">
      <w:pPr>
        <w:spacing w:line="480" w:lineRule="auto"/>
        <w:rPr>
          <w:b/>
        </w:rPr>
      </w:pPr>
      <w:r w:rsidRPr="006C6697">
        <w:rPr>
          <w:b/>
        </w:rPr>
        <w:t>3. Institutional Variables</w:t>
      </w:r>
    </w:p>
    <w:p w:rsidR="002A0843" w:rsidRDefault="002A0843" w:rsidP="00941E10">
      <w:pPr>
        <w:spacing w:line="480" w:lineRule="auto"/>
      </w:pPr>
      <w:r w:rsidRPr="002A0843">
        <w:rPr>
          <w:i/>
        </w:rPr>
        <w:lastRenderedPageBreak/>
        <w:t>Rivers</w:t>
      </w:r>
      <w:r>
        <w:t>:  Segments that follow rivers were identified using the Natural Earth 1:10m rivers layer, information from the International River Boundaries Database at Durham University,</w:t>
      </w:r>
      <w:r>
        <w:rPr>
          <w:rStyle w:val="FootnoteReference"/>
        </w:rPr>
        <w:footnoteReference w:id="8"/>
      </w:r>
      <w:r>
        <w:t xml:space="preserve"> and maps and descriptions in Brownlie (1979).</w:t>
      </w:r>
      <w:r w:rsidR="008C7C55">
        <w:t xml:space="preserve">  A few borders follow lakes. The results do not change if these are coded as river boundaries or if a separate indicator for lake segments is included in the models.</w:t>
      </w:r>
    </w:p>
    <w:p w:rsidR="00F62459" w:rsidRDefault="00F62459" w:rsidP="00941E10">
      <w:pPr>
        <w:spacing w:line="480" w:lineRule="auto"/>
      </w:pPr>
    </w:p>
    <w:p w:rsidR="00F62459" w:rsidRDefault="00F62459" w:rsidP="00941E10">
      <w:pPr>
        <w:spacing w:line="480" w:lineRule="auto"/>
      </w:pPr>
      <w:r w:rsidRPr="00F62459">
        <w:rPr>
          <w:i/>
        </w:rPr>
        <w:t>Watershed</w:t>
      </w:r>
      <w:r>
        <w:t xml:space="preserve">s: Segments that follow watershed boundaries were identified using </w:t>
      </w:r>
      <w:r w:rsidR="008B5BDA">
        <w:t>HydroSHEDS (Lehner et. al 2006) and descriptions in Brownlie (1979).</w:t>
      </w:r>
    </w:p>
    <w:p w:rsidR="00F62459" w:rsidRDefault="00F62459" w:rsidP="00941E10">
      <w:pPr>
        <w:spacing w:line="480" w:lineRule="auto"/>
      </w:pPr>
    </w:p>
    <w:p w:rsidR="00EA6039" w:rsidRDefault="00F62459" w:rsidP="00EA6039">
      <w:pPr>
        <w:spacing w:line="480" w:lineRule="auto"/>
      </w:pPr>
      <w:r w:rsidRPr="00814C24">
        <w:rPr>
          <w:i/>
        </w:rPr>
        <w:t>Straight</w:t>
      </w:r>
      <w:r>
        <w:t>: Straight line segments were identified by eye and by consulting sources on the boundary alignment, including Brownlie (1979) and the International Boundary Study series.  A complication arises because almost every piece of a border is straight when viewed over a short enough distance.  Moreover, linking together a number of very short straight lines can yield a border that is not straight overall.  To address this, a subset of the border was considered to be straight if it followed a straight line for at least 50km, though in a few cases a smaller threshold was used.  A 1km segment was coded as straight if it was part of a straight subset.</w:t>
      </w:r>
    </w:p>
    <w:p w:rsidR="00EA6039" w:rsidRDefault="00EA6039" w:rsidP="00EA6039">
      <w:pPr>
        <w:spacing w:line="480" w:lineRule="auto"/>
      </w:pPr>
    </w:p>
    <w:p w:rsidR="008C7C55" w:rsidRDefault="008C7C55" w:rsidP="00EA6039">
      <w:pPr>
        <w:spacing w:line="480" w:lineRule="auto"/>
      </w:pPr>
      <w:r w:rsidRPr="00EA6039">
        <w:rPr>
          <w:i/>
        </w:rPr>
        <w:t>Demarcated</w:t>
      </w:r>
      <w:r>
        <w:t xml:space="preserve">: </w:t>
      </w:r>
      <w:r w:rsidR="00EA6039">
        <w:t>A dummy variable indicates, for border segments that did not follow a river or lake, whether they were physically demarcated at the time of independence.  This determination was based on information in Brownlie (1979).</w:t>
      </w:r>
    </w:p>
    <w:p w:rsidR="00EA6039" w:rsidRDefault="00EA6039" w:rsidP="00EA6039">
      <w:pPr>
        <w:spacing w:line="480" w:lineRule="auto"/>
      </w:pPr>
    </w:p>
    <w:p w:rsidR="00EA6039" w:rsidRDefault="00EA6039" w:rsidP="00EA6039">
      <w:pPr>
        <w:spacing w:line="480" w:lineRule="auto"/>
      </w:pPr>
      <w:r w:rsidRPr="007305BB">
        <w:rPr>
          <w:i/>
        </w:rPr>
        <w:lastRenderedPageBreak/>
        <w:t>Border age</w:t>
      </w:r>
      <w:r>
        <w:t>: For each border segment, we coded the year in which the line inherited on independence was defined</w:t>
      </w:r>
      <w:r w:rsidR="00EB49B1">
        <w:t>,</w:t>
      </w:r>
      <w:r>
        <w:t xml:space="preserve"> based on information in Brow</w:t>
      </w:r>
      <w:r w:rsidR="007305BB">
        <w:t>n</w:t>
      </w:r>
      <w:r>
        <w:t xml:space="preserve">lie (1979) and the US State Department’s </w:t>
      </w:r>
      <w:r w:rsidRPr="00EA6039">
        <w:rPr>
          <w:i/>
        </w:rPr>
        <w:t>International Boundary Study</w:t>
      </w:r>
      <w:r>
        <w:t xml:space="preserve"> series.  In most cases, the creation of a boundary happens</w:t>
      </w:r>
      <w:r w:rsidR="00EB49B1">
        <w:t xml:space="preserve"> in</w:t>
      </w:r>
      <w:r>
        <w:t xml:space="preserve"> stages, which might include a rough statement of spheres of influence, followed by a more precise definition of a boundary, followed by successive stages of clarification, r</w:t>
      </w:r>
      <w:r w:rsidR="007305BB">
        <w:t xml:space="preserve">ectification, and demarcation.  For each case, we selected the year when the inherited boundary was largely defined and recognizable in an official agreement or decree.  Neither rough versions done in the course of separating spheres of influence, nor minor rectifications or clarifications were considered as determining the age of the boundary.  Since there is some subjectivity in determining the border age, we distinguish only between borders that were essentially defined prior to 1920 and those that were defined thereafter.  As noted in the text, there are a few dyads in which all or part of the border was undefined or only provisionally defined at the time of independence.  </w:t>
      </w:r>
      <w:r w:rsidR="00EB49B1">
        <w:t>These are indicated separately.</w:t>
      </w:r>
    </w:p>
    <w:p w:rsidR="007305BB" w:rsidRDefault="007305BB" w:rsidP="00EA6039">
      <w:pPr>
        <w:spacing w:line="480" w:lineRule="auto"/>
      </w:pPr>
    </w:p>
    <w:p w:rsidR="007305BB" w:rsidRDefault="007305BB" w:rsidP="00EA6039">
      <w:pPr>
        <w:spacing w:line="480" w:lineRule="auto"/>
      </w:pPr>
      <w:r w:rsidRPr="007305BB">
        <w:rPr>
          <w:i/>
        </w:rPr>
        <w:t>Border change in colonial period:</w:t>
      </w:r>
      <w:r>
        <w:t xml:space="preserve"> This is a dummy variable that indicates whether a border segment underwent a significant change during the colonial period.  Minor rectifications (e.g., arising f</w:t>
      </w:r>
      <w:r w:rsidR="00EA031D">
        <w:t>rom errors or efforts to more closely align the border with the physical geography)</w:t>
      </w:r>
      <w:r>
        <w:t xml:space="preserve"> or more precise definitions of</w:t>
      </w:r>
      <w:r w:rsidR="00EA031D">
        <w:t xml:space="preserve"> rough </w:t>
      </w:r>
      <w:r>
        <w:t>lines that had originally separated spheres of influence were not counted as changes.  Rather, this variable identifies cases in which a line defined in an earlier agreement or decree was subsequently changed in a later agreement or decree</w:t>
      </w:r>
      <w:r w:rsidR="00EA031D">
        <w:t>, in a way that transferred an appreciable piece of territory</w:t>
      </w:r>
      <w:r>
        <w:t xml:space="preserve">.  For each case, we also code which state lost territory due to the change.  In a few cases, mostly in French West Africa, we </w:t>
      </w:r>
      <w:r w:rsidR="00EA031D">
        <w:t xml:space="preserve">only </w:t>
      </w:r>
      <w:r>
        <w:t xml:space="preserve">know that the </w:t>
      </w:r>
      <w:r>
        <w:lastRenderedPageBreak/>
        <w:t xml:space="preserve">border shifted a number of times before finally settling in the </w:t>
      </w:r>
      <w:r w:rsidR="00EA031D">
        <w:t>inherited location, in which case both states are coded as losing territory in a change.</w:t>
      </w:r>
    </w:p>
    <w:p w:rsidR="008D1352" w:rsidRDefault="008D1352">
      <w:pPr>
        <w:spacing w:after="200" w:line="276" w:lineRule="auto"/>
        <w:rPr>
          <w:b/>
        </w:rPr>
      </w:pPr>
    </w:p>
    <w:p w:rsidR="007232FB" w:rsidRDefault="007232FB">
      <w:pPr>
        <w:spacing w:after="200" w:line="276" w:lineRule="auto"/>
        <w:rPr>
          <w:b/>
        </w:rPr>
      </w:pPr>
      <w:r>
        <w:rPr>
          <w:b/>
        </w:rPr>
        <w:br w:type="page"/>
      </w:r>
    </w:p>
    <w:p w:rsidR="004912C6" w:rsidRPr="004912C6" w:rsidRDefault="00497BE2">
      <w:pPr>
        <w:spacing w:after="200" w:line="276" w:lineRule="auto"/>
        <w:rPr>
          <w:b/>
        </w:rPr>
      </w:pPr>
      <w:r>
        <w:rPr>
          <w:b/>
        </w:rPr>
        <w:lastRenderedPageBreak/>
        <w:t>4. Summary Statistics</w:t>
      </w:r>
    </w:p>
    <w:p w:rsidR="000524E6" w:rsidRDefault="000524E6">
      <w:pPr>
        <w:spacing w:after="200" w:line="276" w:lineRule="auto"/>
      </w:pPr>
      <w:r>
        <w:t xml:space="preserve">Summary statistics for all variables in the directed-dyadic data set are as follows: </w:t>
      </w:r>
    </w:p>
    <w:p w:rsidR="000524E6" w:rsidRDefault="00E97251" w:rsidP="00E97251">
      <w:pPr>
        <w:jc w:val="center"/>
        <w:rPr>
          <w:b/>
        </w:rPr>
      </w:pPr>
      <w:r w:rsidRPr="00E97251">
        <w:rPr>
          <w:b/>
        </w:rPr>
        <w:t>Table B1: Summary Statistics</w:t>
      </w:r>
    </w:p>
    <w:p w:rsidR="007232FB" w:rsidRPr="00E97251" w:rsidRDefault="007232FB" w:rsidP="00E97251">
      <w:pPr>
        <w:jc w:val="center"/>
        <w:rPr>
          <w:b/>
        </w:rPr>
      </w:pPr>
    </w:p>
    <w:tbl>
      <w:tblPr>
        <w:tblStyle w:val="TableGrid"/>
        <w:tblW w:w="9263" w:type="dxa"/>
        <w:jc w:val="center"/>
        <w:tblLook w:val="04A0" w:firstRow="1" w:lastRow="0" w:firstColumn="1" w:lastColumn="0" w:noHBand="0" w:noVBand="1"/>
      </w:tblPr>
      <w:tblGrid>
        <w:gridCol w:w="4945"/>
        <w:gridCol w:w="936"/>
        <w:gridCol w:w="864"/>
        <w:gridCol w:w="899"/>
        <w:gridCol w:w="876"/>
        <w:gridCol w:w="743"/>
      </w:tblGrid>
      <w:tr w:rsidR="000524E6" w:rsidRPr="000524E6" w:rsidTr="007232FB">
        <w:trPr>
          <w:jc w:val="center"/>
        </w:trPr>
        <w:tc>
          <w:tcPr>
            <w:tcW w:w="4945" w:type="dxa"/>
          </w:tcPr>
          <w:p w:rsidR="000524E6" w:rsidRPr="000524E6" w:rsidRDefault="000524E6" w:rsidP="007232FB">
            <w:pPr>
              <w:rPr>
                <w:b/>
              </w:rPr>
            </w:pPr>
            <w:r w:rsidRPr="000524E6">
              <w:rPr>
                <w:b/>
              </w:rPr>
              <w:t>Variable</w:t>
            </w:r>
          </w:p>
        </w:tc>
        <w:tc>
          <w:tcPr>
            <w:tcW w:w="936" w:type="dxa"/>
          </w:tcPr>
          <w:p w:rsidR="000524E6" w:rsidRPr="000524E6" w:rsidRDefault="000524E6" w:rsidP="00E97251">
            <w:pPr>
              <w:jc w:val="center"/>
              <w:rPr>
                <w:b/>
              </w:rPr>
            </w:pPr>
            <w:r w:rsidRPr="000524E6">
              <w:rPr>
                <w:b/>
              </w:rPr>
              <w:t>Obs.</w:t>
            </w:r>
          </w:p>
        </w:tc>
        <w:tc>
          <w:tcPr>
            <w:tcW w:w="864" w:type="dxa"/>
          </w:tcPr>
          <w:p w:rsidR="000524E6" w:rsidRPr="000524E6" w:rsidRDefault="000524E6" w:rsidP="00E97251">
            <w:pPr>
              <w:jc w:val="center"/>
              <w:rPr>
                <w:b/>
              </w:rPr>
            </w:pPr>
            <w:r w:rsidRPr="000524E6">
              <w:rPr>
                <w:b/>
              </w:rPr>
              <w:t>Mean</w:t>
            </w:r>
          </w:p>
        </w:tc>
        <w:tc>
          <w:tcPr>
            <w:tcW w:w="899" w:type="dxa"/>
          </w:tcPr>
          <w:p w:rsidR="000524E6" w:rsidRPr="000524E6" w:rsidRDefault="000524E6" w:rsidP="00E97251">
            <w:pPr>
              <w:jc w:val="center"/>
              <w:rPr>
                <w:b/>
              </w:rPr>
            </w:pPr>
            <w:r w:rsidRPr="000524E6">
              <w:rPr>
                <w:b/>
              </w:rPr>
              <w:t>Std. Dev.</w:t>
            </w:r>
          </w:p>
        </w:tc>
        <w:tc>
          <w:tcPr>
            <w:tcW w:w="876" w:type="dxa"/>
          </w:tcPr>
          <w:p w:rsidR="000524E6" w:rsidRPr="000524E6" w:rsidRDefault="000524E6" w:rsidP="00E97251">
            <w:pPr>
              <w:jc w:val="center"/>
              <w:rPr>
                <w:b/>
              </w:rPr>
            </w:pPr>
            <w:r w:rsidRPr="000524E6">
              <w:rPr>
                <w:b/>
              </w:rPr>
              <w:t>Min.</w:t>
            </w:r>
          </w:p>
        </w:tc>
        <w:tc>
          <w:tcPr>
            <w:tcW w:w="743" w:type="dxa"/>
          </w:tcPr>
          <w:p w:rsidR="000524E6" w:rsidRPr="000524E6" w:rsidRDefault="000524E6" w:rsidP="00E97251">
            <w:pPr>
              <w:jc w:val="center"/>
              <w:rPr>
                <w:b/>
              </w:rPr>
            </w:pPr>
            <w:r w:rsidRPr="000524E6">
              <w:rPr>
                <w:b/>
              </w:rPr>
              <w:t>Max.</w:t>
            </w:r>
          </w:p>
        </w:tc>
      </w:tr>
      <w:tr w:rsidR="00497BE2" w:rsidRPr="00497BE2" w:rsidTr="007232FB">
        <w:trPr>
          <w:jc w:val="center"/>
        </w:trPr>
        <w:tc>
          <w:tcPr>
            <w:tcW w:w="4945" w:type="dxa"/>
            <w:vAlign w:val="bottom"/>
          </w:tcPr>
          <w:p w:rsidR="00497BE2" w:rsidRPr="00497BE2" w:rsidRDefault="00497BE2" w:rsidP="007232FB">
            <w:pPr>
              <w:rPr>
                <w:color w:val="000000"/>
                <w:szCs w:val="24"/>
                <w:lang w:bidi="ar-SA"/>
              </w:rPr>
            </w:pPr>
            <w:r w:rsidRPr="00497BE2">
              <w:rPr>
                <w:color w:val="000000"/>
                <w:szCs w:val="24"/>
              </w:rPr>
              <w:t>Claim on segment</w:t>
            </w:r>
          </w:p>
        </w:tc>
        <w:tc>
          <w:tcPr>
            <w:tcW w:w="936" w:type="dxa"/>
            <w:vAlign w:val="bottom"/>
          </w:tcPr>
          <w:p w:rsidR="00497BE2" w:rsidRPr="00497BE2" w:rsidRDefault="00497BE2" w:rsidP="00E97251">
            <w:pPr>
              <w:jc w:val="center"/>
              <w:rPr>
                <w:color w:val="000000"/>
                <w:szCs w:val="24"/>
                <w:lang w:bidi="ar-SA"/>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0.11</w:t>
            </w:r>
          </w:p>
        </w:tc>
        <w:tc>
          <w:tcPr>
            <w:tcW w:w="899" w:type="dxa"/>
            <w:vAlign w:val="bottom"/>
          </w:tcPr>
          <w:p w:rsidR="00497BE2" w:rsidRPr="00497BE2" w:rsidRDefault="00497BE2" w:rsidP="00E97251">
            <w:pPr>
              <w:jc w:val="center"/>
              <w:rPr>
                <w:color w:val="000000"/>
                <w:szCs w:val="24"/>
              </w:rPr>
            </w:pPr>
            <w:r w:rsidRPr="00497BE2">
              <w:rPr>
                <w:color w:val="000000"/>
                <w:szCs w:val="24"/>
              </w:rPr>
              <w:t>0.32</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Partition</w:t>
            </w:r>
            <w:r>
              <w:rPr>
                <w:color w:val="000000"/>
                <w:szCs w:val="24"/>
              </w:rPr>
              <w:t xml:space="preserve"> (GREG)</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0.74</w:t>
            </w:r>
          </w:p>
        </w:tc>
        <w:tc>
          <w:tcPr>
            <w:tcW w:w="899" w:type="dxa"/>
            <w:vAlign w:val="bottom"/>
          </w:tcPr>
          <w:p w:rsidR="00497BE2" w:rsidRPr="00497BE2" w:rsidRDefault="00497BE2" w:rsidP="00E97251">
            <w:pPr>
              <w:jc w:val="center"/>
              <w:rPr>
                <w:color w:val="000000"/>
                <w:szCs w:val="24"/>
              </w:rPr>
            </w:pPr>
            <w:r w:rsidRPr="00497BE2">
              <w:rPr>
                <w:color w:val="000000"/>
                <w:szCs w:val="24"/>
              </w:rPr>
              <w:t>0.44</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Pr>
                <w:color w:val="000000"/>
                <w:szCs w:val="24"/>
              </w:rPr>
              <w:t>Partition (EPR)</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0.31</w:t>
            </w:r>
          </w:p>
        </w:tc>
        <w:tc>
          <w:tcPr>
            <w:tcW w:w="899" w:type="dxa"/>
            <w:vAlign w:val="bottom"/>
          </w:tcPr>
          <w:p w:rsidR="00497BE2" w:rsidRPr="00497BE2" w:rsidRDefault="00497BE2" w:rsidP="00E97251">
            <w:pPr>
              <w:jc w:val="center"/>
              <w:rPr>
                <w:color w:val="000000"/>
                <w:szCs w:val="24"/>
              </w:rPr>
            </w:pPr>
            <w:r w:rsidRPr="00497BE2">
              <w:rPr>
                <w:color w:val="000000"/>
                <w:szCs w:val="24"/>
              </w:rPr>
              <w:t>0.46</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Partition and 1st leader</w:t>
            </w:r>
            <w:r>
              <w:rPr>
                <w:color w:val="000000"/>
                <w:szCs w:val="24"/>
              </w:rPr>
              <w:t xml:space="preserve"> (GREG)</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0.19</w:t>
            </w:r>
          </w:p>
        </w:tc>
        <w:tc>
          <w:tcPr>
            <w:tcW w:w="899" w:type="dxa"/>
            <w:vAlign w:val="bottom"/>
          </w:tcPr>
          <w:p w:rsidR="00497BE2" w:rsidRPr="00497BE2" w:rsidRDefault="00497BE2" w:rsidP="00E97251">
            <w:pPr>
              <w:jc w:val="center"/>
              <w:rPr>
                <w:color w:val="000000"/>
                <w:szCs w:val="24"/>
              </w:rPr>
            </w:pPr>
            <w:r w:rsidRPr="00497BE2">
              <w:rPr>
                <w:color w:val="000000"/>
                <w:szCs w:val="24"/>
              </w:rPr>
              <w:t>0.39</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Partitioned group pop. share in claimant</w:t>
            </w:r>
            <w:r>
              <w:rPr>
                <w:color w:val="000000"/>
                <w:szCs w:val="24"/>
              </w:rPr>
              <w:t xml:space="preserve"> (GREG)</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0.2</w:t>
            </w:r>
          </w:p>
        </w:tc>
        <w:tc>
          <w:tcPr>
            <w:tcW w:w="899" w:type="dxa"/>
            <w:vAlign w:val="bottom"/>
          </w:tcPr>
          <w:p w:rsidR="00497BE2" w:rsidRPr="00497BE2" w:rsidRDefault="00497BE2" w:rsidP="00E97251">
            <w:pPr>
              <w:jc w:val="center"/>
              <w:rPr>
                <w:color w:val="000000"/>
                <w:szCs w:val="24"/>
              </w:rPr>
            </w:pPr>
            <w:r w:rsidRPr="00497BE2">
              <w:rPr>
                <w:color w:val="000000"/>
                <w:szCs w:val="24"/>
              </w:rPr>
              <w:t>0.32</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0.99</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 xml:space="preserve">Partitioned group pop. share in </w:t>
            </w:r>
            <w:r>
              <w:rPr>
                <w:color w:val="000000"/>
                <w:szCs w:val="24"/>
              </w:rPr>
              <w:t>target (GREG)</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0.2</w:t>
            </w:r>
          </w:p>
        </w:tc>
        <w:tc>
          <w:tcPr>
            <w:tcW w:w="899" w:type="dxa"/>
            <w:vAlign w:val="bottom"/>
          </w:tcPr>
          <w:p w:rsidR="00497BE2" w:rsidRPr="00497BE2" w:rsidRDefault="00497BE2" w:rsidP="00E97251">
            <w:pPr>
              <w:jc w:val="center"/>
              <w:rPr>
                <w:color w:val="000000"/>
                <w:szCs w:val="24"/>
              </w:rPr>
            </w:pPr>
            <w:r w:rsidRPr="00497BE2">
              <w:rPr>
                <w:color w:val="000000"/>
                <w:szCs w:val="24"/>
              </w:rPr>
              <w:t>0.32</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0.99</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Pr>
                <w:color w:val="000000"/>
                <w:szCs w:val="24"/>
              </w:rPr>
              <w:t>Partition and in control (EPR)</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0.089</w:t>
            </w:r>
          </w:p>
        </w:tc>
        <w:tc>
          <w:tcPr>
            <w:tcW w:w="899" w:type="dxa"/>
            <w:vAlign w:val="bottom"/>
          </w:tcPr>
          <w:p w:rsidR="00497BE2" w:rsidRPr="00497BE2" w:rsidRDefault="00497BE2" w:rsidP="00E97251">
            <w:pPr>
              <w:jc w:val="center"/>
              <w:rPr>
                <w:color w:val="000000"/>
                <w:szCs w:val="24"/>
              </w:rPr>
            </w:pPr>
            <w:r w:rsidRPr="00497BE2">
              <w:rPr>
                <w:color w:val="000000"/>
                <w:szCs w:val="24"/>
              </w:rPr>
              <w:t>0.29</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Pr>
                <w:color w:val="000000"/>
                <w:szCs w:val="24"/>
              </w:rPr>
              <w:t>Partition and in coalition (EPR)</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0.072</w:t>
            </w:r>
          </w:p>
        </w:tc>
        <w:tc>
          <w:tcPr>
            <w:tcW w:w="899" w:type="dxa"/>
            <w:vAlign w:val="bottom"/>
          </w:tcPr>
          <w:p w:rsidR="00497BE2" w:rsidRPr="00497BE2" w:rsidRDefault="00497BE2" w:rsidP="00E97251">
            <w:pPr>
              <w:jc w:val="center"/>
              <w:rPr>
                <w:color w:val="000000"/>
                <w:szCs w:val="24"/>
              </w:rPr>
            </w:pPr>
            <w:r w:rsidRPr="00497BE2">
              <w:rPr>
                <w:color w:val="000000"/>
                <w:szCs w:val="24"/>
              </w:rPr>
              <w:t>0.26</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Pr>
                <w:color w:val="000000"/>
                <w:szCs w:val="24"/>
              </w:rPr>
              <w:t>Partition and powerless in Target (EPR)</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0.14</w:t>
            </w:r>
          </w:p>
        </w:tc>
        <w:tc>
          <w:tcPr>
            <w:tcW w:w="899" w:type="dxa"/>
            <w:vAlign w:val="bottom"/>
          </w:tcPr>
          <w:p w:rsidR="00497BE2" w:rsidRPr="00497BE2" w:rsidRDefault="00497BE2" w:rsidP="00E97251">
            <w:pPr>
              <w:jc w:val="center"/>
              <w:rPr>
                <w:color w:val="000000"/>
                <w:szCs w:val="24"/>
              </w:rPr>
            </w:pPr>
            <w:r w:rsidRPr="00497BE2">
              <w:rPr>
                <w:color w:val="000000"/>
                <w:szCs w:val="24"/>
              </w:rPr>
              <w:t>0.35</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Border fractionalization of claimant</w:t>
            </w:r>
            <w:r>
              <w:rPr>
                <w:color w:val="000000"/>
                <w:szCs w:val="24"/>
              </w:rPr>
              <w:t xml:space="preserve"> (GREG)</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9.57</w:t>
            </w:r>
          </w:p>
        </w:tc>
        <w:tc>
          <w:tcPr>
            <w:tcW w:w="899" w:type="dxa"/>
            <w:vAlign w:val="bottom"/>
          </w:tcPr>
          <w:p w:rsidR="00497BE2" w:rsidRPr="00497BE2" w:rsidRDefault="00497BE2" w:rsidP="00E97251">
            <w:pPr>
              <w:jc w:val="center"/>
              <w:rPr>
                <w:color w:val="000000"/>
                <w:szCs w:val="24"/>
              </w:rPr>
            </w:pPr>
            <w:r w:rsidRPr="00497BE2">
              <w:rPr>
                <w:color w:val="000000"/>
                <w:szCs w:val="24"/>
              </w:rPr>
              <w:t>4.86</w:t>
            </w:r>
          </w:p>
        </w:tc>
        <w:tc>
          <w:tcPr>
            <w:tcW w:w="876" w:type="dxa"/>
            <w:vAlign w:val="bottom"/>
          </w:tcPr>
          <w:p w:rsidR="00497BE2" w:rsidRPr="00497BE2" w:rsidRDefault="00497BE2" w:rsidP="00E97251">
            <w:pPr>
              <w:jc w:val="center"/>
              <w:rPr>
                <w:color w:val="000000"/>
                <w:szCs w:val="24"/>
              </w:rPr>
            </w:pPr>
            <w:r w:rsidRPr="00497BE2">
              <w:rPr>
                <w:color w:val="000000"/>
                <w:szCs w:val="24"/>
              </w:rPr>
              <w:t>1</w:t>
            </w:r>
          </w:p>
        </w:tc>
        <w:tc>
          <w:tcPr>
            <w:tcW w:w="743" w:type="dxa"/>
            <w:vAlign w:val="bottom"/>
          </w:tcPr>
          <w:p w:rsidR="00497BE2" w:rsidRPr="00497BE2" w:rsidRDefault="00497BE2" w:rsidP="00E97251">
            <w:pPr>
              <w:jc w:val="center"/>
              <w:rPr>
                <w:color w:val="000000"/>
                <w:szCs w:val="24"/>
              </w:rPr>
            </w:pPr>
            <w:r w:rsidRPr="00497BE2">
              <w:rPr>
                <w:color w:val="000000"/>
                <w:szCs w:val="24"/>
              </w:rPr>
              <w:t>19</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Border fractionalization of claimant</w:t>
            </w:r>
            <w:r>
              <w:rPr>
                <w:color w:val="000000"/>
                <w:szCs w:val="24"/>
              </w:rPr>
              <w:t xml:space="preserve"> (EPR)</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3.17</w:t>
            </w:r>
          </w:p>
        </w:tc>
        <w:tc>
          <w:tcPr>
            <w:tcW w:w="899" w:type="dxa"/>
            <w:vAlign w:val="bottom"/>
          </w:tcPr>
          <w:p w:rsidR="00497BE2" w:rsidRPr="00497BE2" w:rsidRDefault="00497BE2" w:rsidP="00E97251">
            <w:pPr>
              <w:jc w:val="center"/>
              <w:rPr>
                <w:color w:val="000000"/>
                <w:szCs w:val="24"/>
              </w:rPr>
            </w:pPr>
            <w:r w:rsidRPr="00497BE2">
              <w:rPr>
                <w:color w:val="000000"/>
                <w:szCs w:val="24"/>
              </w:rPr>
              <w:t>1.12</w:t>
            </w:r>
          </w:p>
        </w:tc>
        <w:tc>
          <w:tcPr>
            <w:tcW w:w="876" w:type="dxa"/>
            <w:vAlign w:val="bottom"/>
          </w:tcPr>
          <w:p w:rsidR="00497BE2" w:rsidRPr="00497BE2" w:rsidRDefault="00497BE2" w:rsidP="00E97251">
            <w:pPr>
              <w:jc w:val="center"/>
              <w:rPr>
                <w:color w:val="000000"/>
                <w:szCs w:val="24"/>
              </w:rPr>
            </w:pPr>
            <w:r w:rsidRPr="00497BE2">
              <w:rPr>
                <w:color w:val="000000"/>
                <w:szCs w:val="24"/>
              </w:rPr>
              <w:t>1</w:t>
            </w:r>
          </w:p>
        </w:tc>
        <w:tc>
          <w:tcPr>
            <w:tcW w:w="743" w:type="dxa"/>
            <w:vAlign w:val="bottom"/>
          </w:tcPr>
          <w:p w:rsidR="00497BE2" w:rsidRPr="00497BE2" w:rsidRDefault="00497BE2" w:rsidP="00E97251">
            <w:pPr>
              <w:jc w:val="center"/>
              <w:rPr>
                <w:color w:val="000000"/>
                <w:szCs w:val="24"/>
              </w:rPr>
            </w:pPr>
            <w:r w:rsidRPr="00497BE2">
              <w:rPr>
                <w:color w:val="000000"/>
                <w:szCs w:val="24"/>
              </w:rPr>
              <w:t>6</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Ethnic fractionalization of claimant</w:t>
            </w:r>
          </w:p>
        </w:tc>
        <w:tc>
          <w:tcPr>
            <w:tcW w:w="936" w:type="dxa"/>
            <w:vAlign w:val="bottom"/>
          </w:tcPr>
          <w:p w:rsidR="00497BE2" w:rsidRPr="00497BE2" w:rsidRDefault="00497BE2" w:rsidP="00E97251">
            <w:pPr>
              <w:jc w:val="center"/>
              <w:rPr>
                <w:color w:val="000000"/>
                <w:szCs w:val="24"/>
              </w:rPr>
            </w:pPr>
            <w:r w:rsidRPr="00497BE2">
              <w:rPr>
                <w:color w:val="000000"/>
                <w:szCs w:val="24"/>
              </w:rPr>
              <w:t>152904</w:t>
            </w:r>
          </w:p>
        </w:tc>
        <w:tc>
          <w:tcPr>
            <w:tcW w:w="864" w:type="dxa"/>
            <w:vAlign w:val="bottom"/>
          </w:tcPr>
          <w:p w:rsidR="00497BE2" w:rsidRPr="00497BE2" w:rsidRDefault="00497BE2" w:rsidP="00E97251">
            <w:pPr>
              <w:jc w:val="center"/>
              <w:rPr>
                <w:color w:val="000000"/>
                <w:szCs w:val="24"/>
              </w:rPr>
            </w:pPr>
            <w:r w:rsidRPr="00497BE2">
              <w:rPr>
                <w:color w:val="000000"/>
                <w:szCs w:val="24"/>
              </w:rPr>
              <w:t>0.67</w:t>
            </w:r>
          </w:p>
        </w:tc>
        <w:tc>
          <w:tcPr>
            <w:tcW w:w="899" w:type="dxa"/>
            <w:vAlign w:val="bottom"/>
          </w:tcPr>
          <w:p w:rsidR="00497BE2" w:rsidRPr="00497BE2" w:rsidRDefault="00497BE2" w:rsidP="00E97251">
            <w:pPr>
              <w:jc w:val="center"/>
              <w:rPr>
                <w:color w:val="000000"/>
                <w:szCs w:val="24"/>
              </w:rPr>
            </w:pPr>
            <w:r w:rsidRPr="00497BE2">
              <w:rPr>
                <w:color w:val="000000"/>
                <w:szCs w:val="24"/>
              </w:rPr>
              <w:t>0.22</w:t>
            </w:r>
          </w:p>
        </w:tc>
        <w:tc>
          <w:tcPr>
            <w:tcW w:w="876" w:type="dxa"/>
            <w:vAlign w:val="bottom"/>
          </w:tcPr>
          <w:p w:rsidR="00497BE2" w:rsidRPr="00497BE2" w:rsidRDefault="00497BE2" w:rsidP="00E97251">
            <w:pPr>
              <w:jc w:val="center"/>
              <w:rPr>
                <w:color w:val="000000"/>
                <w:szCs w:val="24"/>
              </w:rPr>
            </w:pPr>
            <w:r w:rsidRPr="00497BE2">
              <w:rPr>
                <w:color w:val="000000"/>
                <w:szCs w:val="24"/>
              </w:rPr>
              <w:t>0.036</w:t>
            </w:r>
          </w:p>
        </w:tc>
        <w:tc>
          <w:tcPr>
            <w:tcW w:w="743" w:type="dxa"/>
            <w:vAlign w:val="bottom"/>
          </w:tcPr>
          <w:p w:rsidR="00497BE2" w:rsidRPr="00497BE2" w:rsidRDefault="00497BE2" w:rsidP="00E97251">
            <w:pPr>
              <w:jc w:val="center"/>
              <w:rPr>
                <w:color w:val="000000"/>
                <w:szCs w:val="24"/>
              </w:rPr>
            </w:pPr>
            <w:r w:rsidRPr="00497BE2">
              <w:rPr>
                <w:color w:val="000000"/>
                <w:szCs w:val="24"/>
              </w:rPr>
              <w:t>0.93</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Capability share of claimant</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0.5</w:t>
            </w:r>
          </w:p>
        </w:tc>
        <w:tc>
          <w:tcPr>
            <w:tcW w:w="899" w:type="dxa"/>
            <w:vAlign w:val="bottom"/>
          </w:tcPr>
          <w:p w:rsidR="00497BE2" w:rsidRPr="00497BE2" w:rsidRDefault="00497BE2" w:rsidP="00E97251">
            <w:pPr>
              <w:jc w:val="center"/>
              <w:rPr>
                <w:color w:val="000000"/>
                <w:szCs w:val="24"/>
              </w:rPr>
            </w:pPr>
            <w:r w:rsidRPr="00497BE2">
              <w:rPr>
                <w:color w:val="000000"/>
                <w:szCs w:val="24"/>
              </w:rPr>
              <w:t>0.31</w:t>
            </w:r>
          </w:p>
        </w:tc>
        <w:tc>
          <w:tcPr>
            <w:tcW w:w="876" w:type="dxa"/>
            <w:vAlign w:val="bottom"/>
          </w:tcPr>
          <w:p w:rsidR="00497BE2" w:rsidRPr="00497BE2" w:rsidRDefault="00497BE2" w:rsidP="00E97251">
            <w:pPr>
              <w:jc w:val="center"/>
              <w:rPr>
                <w:color w:val="000000"/>
                <w:szCs w:val="24"/>
              </w:rPr>
            </w:pPr>
            <w:r w:rsidRPr="00497BE2">
              <w:rPr>
                <w:color w:val="000000"/>
                <w:szCs w:val="24"/>
              </w:rPr>
              <w:t>0.0048</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Area share of claimant</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0.5</w:t>
            </w:r>
          </w:p>
        </w:tc>
        <w:tc>
          <w:tcPr>
            <w:tcW w:w="899" w:type="dxa"/>
            <w:vAlign w:val="bottom"/>
          </w:tcPr>
          <w:p w:rsidR="00497BE2" w:rsidRPr="00497BE2" w:rsidRDefault="00497BE2" w:rsidP="00E97251">
            <w:pPr>
              <w:jc w:val="center"/>
              <w:rPr>
                <w:color w:val="000000"/>
                <w:szCs w:val="24"/>
              </w:rPr>
            </w:pPr>
            <w:r w:rsidRPr="00497BE2">
              <w:rPr>
                <w:color w:val="000000"/>
                <w:szCs w:val="24"/>
              </w:rPr>
              <w:t>0.25</w:t>
            </w:r>
          </w:p>
        </w:tc>
        <w:tc>
          <w:tcPr>
            <w:tcW w:w="876" w:type="dxa"/>
            <w:vAlign w:val="bottom"/>
          </w:tcPr>
          <w:p w:rsidR="00497BE2" w:rsidRPr="00497BE2" w:rsidRDefault="00497BE2" w:rsidP="00E97251">
            <w:pPr>
              <w:jc w:val="center"/>
              <w:rPr>
                <w:color w:val="000000"/>
                <w:szCs w:val="24"/>
              </w:rPr>
            </w:pPr>
            <w:r w:rsidRPr="00497BE2">
              <w:rPr>
                <w:color w:val="000000"/>
                <w:szCs w:val="24"/>
              </w:rPr>
              <w:t>0.011</w:t>
            </w:r>
          </w:p>
        </w:tc>
        <w:tc>
          <w:tcPr>
            <w:tcW w:w="743" w:type="dxa"/>
            <w:vAlign w:val="bottom"/>
          </w:tcPr>
          <w:p w:rsidR="00497BE2" w:rsidRPr="00497BE2" w:rsidRDefault="00497BE2" w:rsidP="00E97251">
            <w:pPr>
              <w:jc w:val="center"/>
              <w:rPr>
                <w:color w:val="000000"/>
                <w:szCs w:val="24"/>
              </w:rPr>
            </w:pPr>
            <w:r w:rsidRPr="00497BE2">
              <w:rPr>
                <w:color w:val="000000"/>
                <w:szCs w:val="24"/>
              </w:rPr>
              <w:t>0.99</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Distance to capital of claimant</w:t>
            </w:r>
            <w:r w:rsidR="00484D73">
              <w:rPr>
                <w:color w:val="000000"/>
                <w:szCs w:val="24"/>
              </w:rPr>
              <w:t xml:space="preserve"> (logged)</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6.27</w:t>
            </w:r>
          </w:p>
        </w:tc>
        <w:tc>
          <w:tcPr>
            <w:tcW w:w="899" w:type="dxa"/>
            <w:vAlign w:val="bottom"/>
          </w:tcPr>
          <w:p w:rsidR="00497BE2" w:rsidRPr="00497BE2" w:rsidRDefault="00497BE2" w:rsidP="00E97251">
            <w:pPr>
              <w:jc w:val="center"/>
              <w:rPr>
                <w:color w:val="000000"/>
                <w:szCs w:val="24"/>
              </w:rPr>
            </w:pPr>
            <w:r w:rsidRPr="00497BE2">
              <w:rPr>
                <w:color w:val="000000"/>
                <w:szCs w:val="24"/>
              </w:rPr>
              <w:t>0.77</w:t>
            </w:r>
          </w:p>
        </w:tc>
        <w:tc>
          <w:tcPr>
            <w:tcW w:w="876" w:type="dxa"/>
            <w:vAlign w:val="bottom"/>
          </w:tcPr>
          <w:p w:rsidR="00497BE2" w:rsidRPr="00497BE2" w:rsidRDefault="00497BE2" w:rsidP="00E97251">
            <w:pPr>
              <w:jc w:val="center"/>
              <w:rPr>
                <w:color w:val="000000"/>
                <w:szCs w:val="24"/>
              </w:rPr>
            </w:pPr>
            <w:r w:rsidRPr="00497BE2">
              <w:rPr>
                <w:color w:val="000000"/>
                <w:szCs w:val="24"/>
              </w:rPr>
              <w:t>-0.68</w:t>
            </w:r>
          </w:p>
        </w:tc>
        <w:tc>
          <w:tcPr>
            <w:tcW w:w="743" w:type="dxa"/>
            <w:vAlign w:val="bottom"/>
          </w:tcPr>
          <w:p w:rsidR="00497BE2" w:rsidRPr="00497BE2" w:rsidRDefault="00497BE2" w:rsidP="00E97251">
            <w:pPr>
              <w:jc w:val="center"/>
              <w:rPr>
                <w:color w:val="000000"/>
                <w:szCs w:val="24"/>
              </w:rPr>
            </w:pPr>
            <w:r w:rsidRPr="00497BE2">
              <w:rPr>
                <w:color w:val="000000"/>
                <w:szCs w:val="24"/>
              </w:rPr>
              <w:t>7.59</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Oil on target side</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0.43</w:t>
            </w:r>
          </w:p>
        </w:tc>
        <w:tc>
          <w:tcPr>
            <w:tcW w:w="899" w:type="dxa"/>
            <w:vAlign w:val="bottom"/>
          </w:tcPr>
          <w:p w:rsidR="00497BE2" w:rsidRPr="00497BE2" w:rsidRDefault="00497BE2" w:rsidP="00E97251">
            <w:pPr>
              <w:jc w:val="center"/>
              <w:rPr>
                <w:color w:val="000000"/>
                <w:szCs w:val="24"/>
              </w:rPr>
            </w:pPr>
            <w:r w:rsidRPr="00497BE2">
              <w:rPr>
                <w:color w:val="000000"/>
                <w:szCs w:val="24"/>
              </w:rPr>
              <w:t>0.5</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Distance to oil on target side</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166.7</w:t>
            </w:r>
          </w:p>
        </w:tc>
        <w:tc>
          <w:tcPr>
            <w:tcW w:w="899" w:type="dxa"/>
            <w:vAlign w:val="bottom"/>
          </w:tcPr>
          <w:p w:rsidR="00497BE2" w:rsidRPr="00497BE2" w:rsidRDefault="00497BE2" w:rsidP="00E97251">
            <w:pPr>
              <w:jc w:val="center"/>
              <w:rPr>
                <w:color w:val="000000"/>
                <w:szCs w:val="24"/>
              </w:rPr>
            </w:pPr>
            <w:r w:rsidRPr="00497BE2">
              <w:rPr>
                <w:color w:val="000000"/>
                <w:szCs w:val="24"/>
              </w:rPr>
              <w:t>251.2</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1000</w:t>
            </w:r>
          </w:p>
        </w:tc>
      </w:tr>
      <w:tr w:rsidR="00497BE2" w:rsidRPr="00497BE2" w:rsidTr="007232FB">
        <w:trPr>
          <w:jc w:val="center"/>
        </w:trPr>
        <w:tc>
          <w:tcPr>
            <w:tcW w:w="4945" w:type="dxa"/>
            <w:vAlign w:val="bottom"/>
          </w:tcPr>
          <w:p w:rsidR="00497BE2" w:rsidRPr="00497BE2" w:rsidRDefault="00497BE2" w:rsidP="007232FB">
            <w:pPr>
              <w:rPr>
                <w:color w:val="000000"/>
                <w:szCs w:val="24"/>
              </w:rPr>
            </w:pPr>
            <w:r w:rsidRPr="00497BE2">
              <w:rPr>
                <w:color w:val="000000"/>
                <w:szCs w:val="24"/>
              </w:rPr>
              <w:t>Minerals on target side</w:t>
            </w:r>
          </w:p>
        </w:tc>
        <w:tc>
          <w:tcPr>
            <w:tcW w:w="936" w:type="dxa"/>
            <w:vAlign w:val="bottom"/>
          </w:tcPr>
          <w:p w:rsidR="00497BE2" w:rsidRPr="00497BE2" w:rsidRDefault="00497BE2" w:rsidP="00E97251">
            <w:pPr>
              <w:jc w:val="center"/>
              <w:rPr>
                <w:color w:val="000000"/>
                <w:szCs w:val="24"/>
              </w:rPr>
            </w:pPr>
            <w:r w:rsidRPr="00497BE2">
              <w:rPr>
                <w:color w:val="000000"/>
                <w:szCs w:val="24"/>
              </w:rPr>
              <w:t>153370</w:t>
            </w:r>
          </w:p>
        </w:tc>
        <w:tc>
          <w:tcPr>
            <w:tcW w:w="864" w:type="dxa"/>
            <w:vAlign w:val="bottom"/>
          </w:tcPr>
          <w:p w:rsidR="00497BE2" w:rsidRPr="00497BE2" w:rsidRDefault="00497BE2" w:rsidP="00E97251">
            <w:pPr>
              <w:jc w:val="center"/>
              <w:rPr>
                <w:color w:val="000000"/>
                <w:szCs w:val="24"/>
              </w:rPr>
            </w:pPr>
            <w:r w:rsidRPr="00497BE2">
              <w:rPr>
                <w:color w:val="000000"/>
                <w:szCs w:val="24"/>
              </w:rPr>
              <w:t>0.92</w:t>
            </w:r>
          </w:p>
        </w:tc>
        <w:tc>
          <w:tcPr>
            <w:tcW w:w="899" w:type="dxa"/>
            <w:vAlign w:val="bottom"/>
          </w:tcPr>
          <w:p w:rsidR="00497BE2" w:rsidRPr="00497BE2" w:rsidRDefault="00497BE2" w:rsidP="00E97251">
            <w:pPr>
              <w:jc w:val="center"/>
              <w:rPr>
                <w:color w:val="000000"/>
                <w:szCs w:val="24"/>
              </w:rPr>
            </w:pPr>
            <w:r w:rsidRPr="00497BE2">
              <w:rPr>
                <w:color w:val="000000"/>
                <w:szCs w:val="24"/>
              </w:rPr>
              <w:t>0.27</w:t>
            </w:r>
          </w:p>
        </w:tc>
        <w:tc>
          <w:tcPr>
            <w:tcW w:w="876" w:type="dxa"/>
            <w:vAlign w:val="bottom"/>
          </w:tcPr>
          <w:p w:rsidR="00497BE2" w:rsidRPr="00497BE2" w:rsidRDefault="00497BE2" w:rsidP="00E97251">
            <w:pPr>
              <w:jc w:val="center"/>
              <w:rPr>
                <w:color w:val="000000"/>
                <w:szCs w:val="24"/>
              </w:rPr>
            </w:pPr>
            <w:r w:rsidRPr="00497BE2">
              <w:rPr>
                <w:color w:val="000000"/>
                <w:szCs w:val="24"/>
              </w:rPr>
              <w:t>0</w:t>
            </w:r>
          </w:p>
        </w:tc>
        <w:tc>
          <w:tcPr>
            <w:tcW w:w="743" w:type="dxa"/>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Distance to minerals on target side</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157.3</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164.3</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990</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Minerals in partitioned group in target</w:t>
            </w:r>
            <w:r>
              <w:rPr>
                <w:color w:val="000000"/>
                <w:szCs w:val="24"/>
              </w:rPr>
              <w:t xml:space="preserve"> (GREG)</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0.51</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0.5</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Partitioned group area share in target</w:t>
            </w:r>
            <w:r>
              <w:rPr>
                <w:color w:val="000000"/>
                <w:szCs w:val="24"/>
              </w:rPr>
              <w:t xml:space="preserve"> (GREG)</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0.2</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0.27</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Partitioned group area share in claimant</w:t>
            </w:r>
            <w:r>
              <w:rPr>
                <w:color w:val="000000"/>
                <w:szCs w:val="24"/>
              </w:rPr>
              <w:t xml:space="preserve"> (GREG)</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0.2</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0.27</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Minerals in partitioned group in target</w:t>
            </w:r>
            <w:r>
              <w:rPr>
                <w:color w:val="000000"/>
                <w:szCs w:val="24"/>
              </w:rPr>
              <w:t xml:space="preserve"> (EPR)</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0.25</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0.43</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Partitioned group area share in target</w:t>
            </w:r>
            <w:r>
              <w:rPr>
                <w:color w:val="000000"/>
                <w:szCs w:val="24"/>
              </w:rPr>
              <w:t xml:space="preserve"> (EPR)</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0.12</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0.24</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Partitioned group area share in claimant</w:t>
            </w:r>
            <w:r>
              <w:rPr>
                <w:color w:val="000000"/>
                <w:szCs w:val="24"/>
              </w:rPr>
              <w:t xml:space="preserve"> (EPR)</w:t>
            </w:r>
          </w:p>
        </w:tc>
        <w:tc>
          <w:tcPr>
            <w:tcW w:w="936" w:type="dxa"/>
            <w:noWrap/>
            <w:vAlign w:val="bottom"/>
            <w:hideMark/>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hideMark/>
          </w:tcPr>
          <w:p w:rsidR="00497BE2" w:rsidRPr="00497BE2" w:rsidRDefault="00497BE2" w:rsidP="00E97251">
            <w:pPr>
              <w:jc w:val="center"/>
              <w:rPr>
                <w:color w:val="000000"/>
                <w:szCs w:val="24"/>
              </w:rPr>
            </w:pPr>
            <w:r w:rsidRPr="00497BE2">
              <w:rPr>
                <w:color w:val="000000"/>
                <w:szCs w:val="24"/>
              </w:rPr>
              <w:t>0.12</w:t>
            </w:r>
          </w:p>
        </w:tc>
        <w:tc>
          <w:tcPr>
            <w:tcW w:w="899" w:type="dxa"/>
            <w:noWrap/>
            <w:vAlign w:val="bottom"/>
            <w:hideMark/>
          </w:tcPr>
          <w:p w:rsidR="00497BE2" w:rsidRPr="00497BE2" w:rsidRDefault="00497BE2" w:rsidP="00E97251">
            <w:pPr>
              <w:jc w:val="center"/>
              <w:rPr>
                <w:color w:val="000000"/>
                <w:szCs w:val="24"/>
              </w:rPr>
            </w:pPr>
            <w:r w:rsidRPr="00497BE2">
              <w:rPr>
                <w:color w:val="000000"/>
                <w:szCs w:val="24"/>
              </w:rPr>
              <w:t>0.24</w:t>
            </w:r>
          </w:p>
        </w:tc>
        <w:tc>
          <w:tcPr>
            <w:tcW w:w="876" w:type="dxa"/>
            <w:noWrap/>
            <w:vAlign w:val="bottom"/>
            <w:hideMark/>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hideMark/>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River border</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0.29</w:t>
            </w:r>
          </w:p>
        </w:tc>
        <w:tc>
          <w:tcPr>
            <w:tcW w:w="899" w:type="dxa"/>
            <w:noWrap/>
            <w:vAlign w:val="bottom"/>
          </w:tcPr>
          <w:p w:rsidR="00497BE2" w:rsidRPr="00497BE2" w:rsidRDefault="00497BE2" w:rsidP="00E97251">
            <w:pPr>
              <w:jc w:val="center"/>
              <w:rPr>
                <w:color w:val="000000"/>
                <w:szCs w:val="24"/>
              </w:rPr>
            </w:pPr>
            <w:r w:rsidRPr="00497BE2">
              <w:rPr>
                <w:color w:val="000000"/>
                <w:szCs w:val="24"/>
              </w:rPr>
              <w:t>0.46</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vAlign w:val="bottom"/>
          </w:tcPr>
          <w:p w:rsidR="00497BE2" w:rsidRPr="00497BE2" w:rsidRDefault="00497BE2" w:rsidP="007232FB">
            <w:pPr>
              <w:rPr>
                <w:color w:val="000000"/>
                <w:szCs w:val="24"/>
              </w:rPr>
            </w:pPr>
            <w:r w:rsidRPr="00497BE2">
              <w:rPr>
                <w:color w:val="000000"/>
                <w:szCs w:val="24"/>
              </w:rPr>
              <w:t>Watershed border</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0.069</w:t>
            </w:r>
          </w:p>
        </w:tc>
        <w:tc>
          <w:tcPr>
            <w:tcW w:w="899" w:type="dxa"/>
            <w:noWrap/>
            <w:vAlign w:val="bottom"/>
          </w:tcPr>
          <w:p w:rsidR="00497BE2" w:rsidRPr="00497BE2" w:rsidRDefault="00497BE2" w:rsidP="00E97251">
            <w:pPr>
              <w:jc w:val="center"/>
              <w:rPr>
                <w:color w:val="000000"/>
                <w:szCs w:val="24"/>
              </w:rPr>
            </w:pPr>
            <w:r w:rsidRPr="00497BE2">
              <w:rPr>
                <w:color w:val="000000"/>
                <w:szCs w:val="24"/>
              </w:rPr>
              <w:t>0.25</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Straight line segment</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0.31</w:t>
            </w:r>
          </w:p>
        </w:tc>
        <w:tc>
          <w:tcPr>
            <w:tcW w:w="899" w:type="dxa"/>
            <w:noWrap/>
            <w:vAlign w:val="bottom"/>
          </w:tcPr>
          <w:p w:rsidR="00497BE2" w:rsidRPr="00497BE2" w:rsidRDefault="00497BE2" w:rsidP="00E97251">
            <w:pPr>
              <w:jc w:val="center"/>
              <w:rPr>
                <w:color w:val="000000"/>
                <w:szCs w:val="24"/>
              </w:rPr>
            </w:pPr>
            <w:r w:rsidRPr="00497BE2">
              <w:rPr>
                <w:color w:val="000000"/>
                <w:szCs w:val="24"/>
              </w:rPr>
              <w:t>0.46</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Demarcated prior to independence</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0.35</w:t>
            </w:r>
          </w:p>
        </w:tc>
        <w:tc>
          <w:tcPr>
            <w:tcW w:w="899" w:type="dxa"/>
            <w:noWrap/>
            <w:vAlign w:val="bottom"/>
          </w:tcPr>
          <w:p w:rsidR="00497BE2" w:rsidRPr="00497BE2" w:rsidRDefault="00497BE2" w:rsidP="00E97251">
            <w:pPr>
              <w:jc w:val="center"/>
              <w:rPr>
                <w:color w:val="000000"/>
                <w:szCs w:val="24"/>
              </w:rPr>
            </w:pPr>
            <w:r w:rsidRPr="00497BE2">
              <w:rPr>
                <w:color w:val="000000"/>
                <w:szCs w:val="24"/>
              </w:rPr>
              <w:t>0.48</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New border created after 1920</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0.15</w:t>
            </w:r>
          </w:p>
        </w:tc>
        <w:tc>
          <w:tcPr>
            <w:tcW w:w="899" w:type="dxa"/>
            <w:noWrap/>
            <w:vAlign w:val="bottom"/>
          </w:tcPr>
          <w:p w:rsidR="00497BE2" w:rsidRPr="00497BE2" w:rsidRDefault="00497BE2" w:rsidP="00E97251">
            <w:pPr>
              <w:jc w:val="center"/>
              <w:rPr>
                <w:color w:val="000000"/>
                <w:szCs w:val="24"/>
              </w:rPr>
            </w:pPr>
            <w:r w:rsidRPr="00497BE2">
              <w:rPr>
                <w:color w:val="000000"/>
                <w:szCs w:val="24"/>
              </w:rPr>
              <w:t>0.36</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Border undefined or provisional</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0.033</w:t>
            </w:r>
          </w:p>
        </w:tc>
        <w:tc>
          <w:tcPr>
            <w:tcW w:w="899" w:type="dxa"/>
            <w:noWrap/>
            <w:vAlign w:val="bottom"/>
          </w:tcPr>
          <w:p w:rsidR="00497BE2" w:rsidRPr="00497BE2" w:rsidRDefault="00497BE2" w:rsidP="00E97251">
            <w:pPr>
              <w:jc w:val="center"/>
              <w:rPr>
                <w:color w:val="000000"/>
                <w:szCs w:val="24"/>
              </w:rPr>
            </w:pPr>
            <w:r w:rsidRPr="00497BE2">
              <w:rPr>
                <w:color w:val="000000"/>
                <w:szCs w:val="24"/>
              </w:rPr>
              <w:t>0.18</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Border changed in colonial period</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0.17</w:t>
            </w:r>
          </w:p>
        </w:tc>
        <w:tc>
          <w:tcPr>
            <w:tcW w:w="899" w:type="dxa"/>
            <w:noWrap/>
            <w:vAlign w:val="bottom"/>
          </w:tcPr>
          <w:p w:rsidR="00497BE2" w:rsidRPr="00497BE2" w:rsidRDefault="00497BE2" w:rsidP="00E97251">
            <w:pPr>
              <w:jc w:val="center"/>
              <w:rPr>
                <w:color w:val="000000"/>
                <w:szCs w:val="24"/>
              </w:rPr>
            </w:pPr>
            <w:r w:rsidRPr="00497BE2">
              <w:rPr>
                <w:color w:val="000000"/>
                <w:szCs w:val="24"/>
              </w:rPr>
              <w:t>0.38</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Claimant lost territory in colonial period</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0.11</w:t>
            </w:r>
          </w:p>
        </w:tc>
        <w:tc>
          <w:tcPr>
            <w:tcW w:w="899" w:type="dxa"/>
            <w:noWrap/>
            <w:vAlign w:val="bottom"/>
          </w:tcPr>
          <w:p w:rsidR="00497BE2" w:rsidRPr="00497BE2" w:rsidRDefault="00497BE2" w:rsidP="00E97251">
            <w:pPr>
              <w:jc w:val="center"/>
              <w:rPr>
                <w:color w:val="000000"/>
                <w:szCs w:val="24"/>
              </w:rPr>
            </w:pPr>
            <w:r w:rsidRPr="00497BE2">
              <w:rPr>
                <w:color w:val="000000"/>
                <w:szCs w:val="24"/>
              </w:rPr>
              <w:t>0.31</w:t>
            </w:r>
          </w:p>
        </w:tc>
        <w:tc>
          <w:tcPr>
            <w:tcW w:w="876" w:type="dxa"/>
            <w:noWrap/>
            <w:vAlign w:val="bottom"/>
          </w:tcPr>
          <w:p w:rsidR="00497BE2" w:rsidRPr="00497BE2" w:rsidRDefault="00497BE2" w:rsidP="00E97251">
            <w:pPr>
              <w:jc w:val="center"/>
              <w:rPr>
                <w:color w:val="000000"/>
                <w:szCs w:val="24"/>
              </w:rPr>
            </w:pPr>
            <w:r w:rsidRPr="00497BE2">
              <w:rPr>
                <w:color w:val="000000"/>
                <w:szCs w:val="24"/>
              </w:rPr>
              <w:t>0</w:t>
            </w:r>
          </w:p>
        </w:tc>
        <w:tc>
          <w:tcPr>
            <w:tcW w:w="743" w:type="dxa"/>
            <w:noWrap/>
            <w:vAlign w:val="bottom"/>
          </w:tcPr>
          <w:p w:rsidR="00497BE2" w:rsidRPr="00497BE2" w:rsidRDefault="00497BE2" w:rsidP="00E97251">
            <w:pPr>
              <w:jc w:val="center"/>
              <w:rPr>
                <w:color w:val="000000"/>
                <w:szCs w:val="24"/>
              </w:rPr>
            </w:pPr>
            <w:r w:rsidRPr="00497BE2">
              <w:rPr>
                <w:color w:val="000000"/>
                <w:szCs w:val="24"/>
              </w:rPr>
              <w:t>1</w:t>
            </w:r>
          </w:p>
        </w:tc>
      </w:tr>
      <w:tr w:rsidR="00497BE2" w:rsidRPr="00497BE2" w:rsidTr="007232FB">
        <w:trPr>
          <w:trHeight w:val="288"/>
          <w:jc w:val="center"/>
        </w:trPr>
        <w:tc>
          <w:tcPr>
            <w:tcW w:w="4945" w:type="dxa"/>
            <w:noWrap/>
          </w:tcPr>
          <w:p w:rsidR="00497BE2" w:rsidRPr="00497BE2" w:rsidRDefault="00497BE2" w:rsidP="007232FB">
            <w:pPr>
              <w:rPr>
                <w:color w:val="000000"/>
                <w:szCs w:val="24"/>
                <w:lang w:bidi="ar-SA"/>
              </w:rPr>
            </w:pPr>
            <w:r w:rsidRPr="00497BE2">
              <w:rPr>
                <w:color w:val="000000"/>
                <w:szCs w:val="24"/>
                <w:lang w:bidi="ar-SA"/>
              </w:rPr>
              <w:t>Border length (logged)</w:t>
            </w:r>
          </w:p>
        </w:tc>
        <w:tc>
          <w:tcPr>
            <w:tcW w:w="936" w:type="dxa"/>
            <w:noWrap/>
            <w:vAlign w:val="bottom"/>
          </w:tcPr>
          <w:p w:rsidR="00497BE2" w:rsidRPr="00497BE2" w:rsidRDefault="00497BE2" w:rsidP="00E97251">
            <w:pPr>
              <w:jc w:val="center"/>
              <w:rPr>
                <w:color w:val="000000"/>
                <w:szCs w:val="24"/>
              </w:rPr>
            </w:pPr>
            <w:r w:rsidRPr="00497BE2">
              <w:rPr>
                <w:color w:val="000000"/>
                <w:szCs w:val="24"/>
              </w:rPr>
              <w:t>153370</w:t>
            </w:r>
          </w:p>
        </w:tc>
        <w:tc>
          <w:tcPr>
            <w:tcW w:w="864" w:type="dxa"/>
            <w:noWrap/>
            <w:vAlign w:val="bottom"/>
          </w:tcPr>
          <w:p w:rsidR="00497BE2" w:rsidRPr="00497BE2" w:rsidRDefault="00497BE2" w:rsidP="00E97251">
            <w:pPr>
              <w:jc w:val="center"/>
              <w:rPr>
                <w:color w:val="000000"/>
                <w:szCs w:val="24"/>
              </w:rPr>
            </w:pPr>
            <w:r w:rsidRPr="00497BE2">
              <w:rPr>
                <w:color w:val="000000"/>
                <w:szCs w:val="24"/>
              </w:rPr>
              <w:t>6.85</w:t>
            </w:r>
          </w:p>
        </w:tc>
        <w:tc>
          <w:tcPr>
            <w:tcW w:w="899" w:type="dxa"/>
            <w:noWrap/>
            <w:vAlign w:val="bottom"/>
          </w:tcPr>
          <w:p w:rsidR="00497BE2" w:rsidRPr="00497BE2" w:rsidRDefault="00497BE2" w:rsidP="00E97251">
            <w:pPr>
              <w:jc w:val="center"/>
              <w:rPr>
                <w:color w:val="000000"/>
                <w:szCs w:val="24"/>
              </w:rPr>
            </w:pPr>
            <w:r w:rsidRPr="00497BE2">
              <w:rPr>
                <w:color w:val="000000"/>
                <w:szCs w:val="24"/>
              </w:rPr>
              <w:t>0.61</w:t>
            </w:r>
          </w:p>
        </w:tc>
        <w:tc>
          <w:tcPr>
            <w:tcW w:w="876" w:type="dxa"/>
            <w:noWrap/>
            <w:vAlign w:val="bottom"/>
          </w:tcPr>
          <w:p w:rsidR="00497BE2" w:rsidRPr="00497BE2" w:rsidRDefault="00497BE2" w:rsidP="00E97251">
            <w:pPr>
              <w:jc w:val="center"/>
              <w:rPr>
                <w:color w:val="000000"/>
                <w:szCs w:val="24"/>
              </w:rPr>
            </w:pPr>
            <w:r w:rsidRPr="00497BE2">
              <w:rPr>
                <w:color w:val="000000"/>
                <w:szCs w:val="24"/>
              </w:rPr>
              <w:t>4.14</w:t>
            </w:r>
          </w:p>
        </w:tc>
        <w:tc>
          <w:tcPr>
            <w:tcW w:w="743" w:type="dxa"/>
            <w:noWrap/>
            <w:vAlign w:val="bottom"/>
          </w:tcPr>
          <w:p w:rsidR="00497BE2" w:rsidRPr="00497BE2" w:rsidRDefault="00497BE2" w:rsidP="00E97251">
            <w:pPr>
              <w:jc w:val="center"/>
              <w:rPr>
                <w:color w:val="000000"/>
                <w:szCs w:val="24"/>
              </w:rPr>
            </w:pPr>
            <w:r w:rsidRPr="00497BE2">
              <w:rPr>
                <w:color w:val="000000"/>
                <w:szCs w:val="24"/>
              </w:rPr>
              <w:t>7.71</w:t>
            </w:r>
          </w:p>
        </w:tc>
      </w:tr>
    </w:tbl>
    <w:p w:rsidR="000524E6" w:rsidRPr="00497BE2" w:rsidRDefault="000524E6" w:rsidP="00E97251">
      <w:pPr>
        <w:spacing w:line="480" w:lineRule="auto"/>
        <w:jc w:val="center"/>
        <w:rPr>
          <w:b/>
          <w:szCs w:val="24"/>
        </w:rPr>
      </w:pPr>
    </w:p>
    <w:p w:rsidR="007232FB" w:rsidRDefault="007232FB">
      <w:pPr>
        <w:spacing w:after="200" w:line="276" w:lineRule="auto"/>
        <w:rPr>
          <w:b/>
        </w:rPr>
      </w:pPr>
      <w:r>
        <w:rPr>
          <w:b/>
        </w:rPr>
        <w:br w:type="page"/>
      </w:r>
    </w:p>
    <w:p w:rsidR="00EB49B1" w:rsidRDefault="00E97251" w:rsidP="00BB475B">
      <w:pPr>
        <w:spacing w:line="480" w:lineRule="auto"/>
      </w:pPr>
      <w:r>
        <w:rPr>
          <w:b/>
        </w:rPr>
        <w:lastRenderedPageBreak/>
        <w:t>5. Bivariate Relationships</w:t>
      </w:r>
    </w:p>
    <w:p w:rsidR="00E97251" w:rsidRDefault="00E97251" w:rsidP="00E97251">
      <w:pPr>
        <w:widowControl w:val="0"/>
        <w:spacing w:line="480" w:lineRule="auto"/>
      </w:pPr>
      <w:r w:rsidRPr="00147F57">
        <w:rPr>
          <w:b/>
        </w:rPr>
        <w:t>Table</w:t>
      </w:r>
      <w:r w:rsidRPr="00603D2F">
        <w:rPr>
          <w:b/>
        </w:rPr>
        <w:t xml:space="preserve"> </w:t>
      </w:r>
      <w:r>
        <w:rPr>
          <w:b/>
        </w:rPr>
        <w:t>B2</w:t>
      </w:r>
      <w:r w:rsidRPr="005D3CA2">
        <w:t xml:space="preserve"> presents the frequency of claims</w:t>
      </w:r>
      <w:r>
        <w:t xml:space="preserve"> </w:t>
      </w:r>
      <w:r w:rsidRPr="005D3CA2">
        <w:t>as a function of the main dichotomous variables in the data set</w:t>
      </w:r>
      <w:r>
        <w:t xml:space="preserve"> using directed dyadic data</w:t>
      </w:r>
      <w:r w:rsidRPr="005D3CA2">
        <w:t xml:space="preserve">. </w:t>
      </w:r>
      <w:r>
        <w:t xml:space="preserve">In </w:t>
      </w:r>
      <w:r w:rsidRPr="007E2C15">
        <w:rPr>
          <w:b/>
        </w:rPr>
        <w:t xml:space="preserve">Table </w:t>
      </w:r>
      <w:r>
        <w:rPr>
          <w:b/>
        </w:rPr>
        <w:t>B2</w:t>
      </w:r>
      <w:r>
        <w:t xml:space="preserve"> we see that </w:t>
      </w:r>
      <w:r w:rsidRPr="005D3CA2">
        <w:t xml:space="preserve">segments that partition a </w:t>
      </w:r>
      <w:r>
        <w:t>GREG- or an EPR-, but not a Murdock-</w:t>
      </w:r>
      <w:r w:rsidRPr="005D3CA2">
        <w:t xml:space="preserve">group </w:t>
      </w:r>
      <w:r>
        <w:t>appear</w:t>
      </w:r>
      <w:r w:rsidRPr="005D3CA2">
        <w:t xml:space="preserve"> slightly more likely to be the subject of a claim than those that do not, but </w:t>
      </w:r>
      <w:r>
        <w:t>any</w:t>
      </w:r>
      <w:r w:rsidRPr="005D3CA2">
        <w:t xml:space="preserve"> effect is very small.</w:t>
      </w:r>
      <w:r w:rsidRPr="005D3CA2">
        <w:rPr>
          <w:rStyle w:val="FootnoteReference"/>
        </w:rPr>
        <w:footnoteReference w:id="9"/>
      </w:r>
      <w:r>
        <w:t xml:space="preserve"> </w:t>
      </w:r>
      <w:r w:rsidRPr="005D3CA2">
        <w:t xml:space="preserve">A </w:t>
      </w:r>
      <w:r>
        <w:t xml:space="preserve">much </w:t>
      </w:r>
      <w:r w:rsidRPr="005D3CA2">
        <w:t xml:space="preserve">stronger relationship emerges when we condition on whether the segment partitions a group that produced the first leader of </w:t>
      </w:r>
      <w:r>
        <w:t>a GREG-group or is an EPR-group that is politically in control in the claimant</w:t>
      </w:r>
      <w:r w:rsidRPr="005D3CA2">
        <w:t>.</w:t>
      </w:r>
      <w:r>
        <w:t xml:space="preserve"> Segments that have both of these qualities experienced a claim between three and four times the rate of segments that had neither.  In the EPR data, segments that partition groups that were part of a ruling coalition were much less likely to be subject of a claim although that pattern does not survive in the multivariate analysis. Segments that partition EPR groups that are powerless in the target, in contrast, were much more likely to be the subject of a claim. The </w:t>
      </w:r>
      <w:r w:rsidRPr="005D3CA2">
        <w:t xml:space="preserve">presence of minerals </w:t>
      </w:r>
      <w:r>
        <w:t xml:space="preserve">on the target side in the area of a partitioned ethnic group is correlated with a higher risk of a claim; however, this result does not survive the multivariate analysis. Oil </w:t>
      </w:r>
      <w:r w:rsidRPr="005D3CA2">
        <w:t xml:space="preserve">is </w:t>
      </w:r>
      <w:r>
        <w:t>relatively</w:t>
      </w:r>
      <w:r w:rsidRPr="005D3CA2">
        <w:t xml:space="preserve"> rare</w:t>
      </w:r>
      <w:r>
        <w:t xml:space="preserve"> – </w:t>
      </w:r>
      <w:r w:rsidRPr="005D3CA2">
        <w:t>only nine dyads have any border segments that are close to oil deposits</w:t>
      </w:r>
      <w:r>
        <w:t xml:space="preserve"> – and its presence is associated with slightly fewer disputed segments.  </w:t>
      </w:r>
      <w:r w:rsidRPr="005D3CA2">
        <w:t>Straight line segments are contested at 2.5 times the rate of non-straight segments, while segments that follow rivers</w:t>
      </w:r>
      <w:r>
        <w:t xml:space="preserve"> or watersheds are much less likely to be contested.  A border change in the colonial period is associated with a higher frequency of claims, an effect </w:t>
      </w:r>
      <w:r>
        <w:lastRenderedPageBreak/>
        <w:t>driven entirely by changes that created a loss for the potential claimant in the directed dyad.  Another striking relationship deals with the status of the border at independence: a claim is five times more likely if the border was undefined or provisional at the time of independence.  The directed-dyadic setup actually understates this effect, since a claim may be made by one state but not the other.  If we turn to the dyadic level and ask whether either state made a claim on the segment, we find that almost all (roughly 95%) of all border segments that the parties had not agreed upon before the birth of the dyad were also disputed afterwards.</w:t>
      </w:r>
      <w:r w:rsidRPr="005D3CA2">
        <w:t xml:space="preserve"> </w:t>
      </w:r>
      <w:r>
        <w:t xml:space="preserve"> As we suggest in the text, this suggests that there is some endogeneity in this relationship.</w:t>
      </w:r>
    </w:p>
    <w:p w:rsidR="00E97251" w:rsidRDefault="00E97251" w:rsidP="00E97251">
      <w:pPr>
        <w:jc w:val="center"/>
        <w:rPr>
          <w:b/>
        </w:rPr>
      </w:pPr>
    </w:p>
    <w:p w:rsidR="00E97251" w:rsidRPr="00D04271" w:rsidRDefault="00E97251" w:rsidP="00E97251">
      <w:pPr>
        <w:jc w:val="center"/>
        <w:rPr>
          <w:szCs w:val="24"/>
        </w:rPr>
      </w:pPr>
      <w:r>
        <w:rPr>
          <w:b/>
          <w:szCs w:val="24"/>
        </w:rPr>
        <w:t>Table B2</w:t>
      </w:r>
      <w:r w:rsidRPr="00D04271">
        <w:rPr>
          <w:b/>
          <w:szCs w:val="24"/>
        </w:rPr>
        <w:t>: Summary of Bivariate Relationships</w:t>
      </w:r>
    </w:p>
    <w:p w:rsidR="00E97251" w:rsidRPr="00D04271" w:rsidRDefault="00E97251" w:rsidP="00E97251">
      <w:pPr>
        <w:widowControl w:val="0"/>
        <w:jc w:val="center"/>
        <w:rPr>
          <w:szCs w:val="24"/>
        </w:rPr>
      </w:pP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3"/>
        <w:gridCol w:w="1641"/>
        <w:gridCol w:w="1641"/>
        <w:gridCol w:w="1641"/>
      </w:tblGrid>
      <w:tr w:rsidR="00E97251" w:rsidRPr="00D04271" w:rsidTr="00E97251">
        <w:trPr>
          <w:jc w:val="center"/>
        </w:trPr>
        <w:tc>
          <w:tcPr>
            <w:tcW w:w="4523" w:type="dxa"/>
          </w:tcPr>
          <w:p w:rsidR="00E97251" w:rsidRPr="00D04271" w:rsidRDefault="00E97251" w:rsidP="00B66121">
            <w:pPr>
              <w:widowControl w:val="0"/>
              <w:jc w:val="center"/>
              <w:rPr>
                <w:b/>
                <w:szCs w:val="24"/>
              </w:rPr>
            </w:pPr>
          </w:p>
          <w:p w:rsidR="00E97251" w:rsidRPr="00D04271" w:rsidRDefault="00E97251" w:rsidP="00B66121">
            <w:pPr>
              <w:widowControl w:val="0"/>
              <w:jc w:val="center"/>
              <w:rPr>
                <w:b/>
                <w:szCs w:val="24"/>
              </w:rPr>
            </w:pPr>
            <w:r w:rsidRPr="00D04271">
              <w:rPr>
                <w:b/>
                <w:szCs w:val="24"/>
              </w:rPr>
              <w:t>Variable</w:t>
            </w:r>
          </w:p>
        </w:tc>
        <w:tc>
          <w:tcPr>
            <w:tcW w:w="1641" w:type="dxa"/>
            <w:vAlign w:val="center"/>
          </w:tcPr>
          <w:p w:rsidR="00E97251" w:rsidRPr="00D04271" w:rsidRDefault="00E97251" w:rsidP="00B66121">
            <w:pPr>
              <w:widowControl w:val="0"/>
              <w:jc w:val="center"/>
              <w:rPr>
                <w:b/>
                <w:szCs w:val="24"/>
              </w:rPr>
            </w:pPr>
            <w:r w:rsidRPr="00D04271">
              <w:rPr>
                <w:b/>
                <w:szCs w:val="24"/>
              </w:rPr>
              <w:t>Variable=1</w:t>
            </w:r>
          </w:p>
          <w:p w:rsidR="00E97251" w:rsidRPr="00D04271" w:rsidRDefault="00E97251" w:rsidP="00B66121">
            <w:pPr>
              <w:widowControl w:val="0"/>
              <w:jc w:val="center"/>
              <w:rPr>
                <w:b/>
                <w:szCs w:val="24"/>
              </w:rPr>
            </w:pPr>
            <w:r w:rsidRPr="00D04271">
              <w:rPr>
                <w:b/>
                <w:szCs w:val="24"/>
              </w:rPr>
              <w:t>% in data</w:t>
            </w:r>
          </w:p>
        </w:tc>
        <w:tc>
          <w:tcPr>
            <w:tcW w:w="1641" w:type="dxa"/>
            <w:vAlign w:val="center"/>
          </w:tcPr>
          <w:p w:rsidR="00E97251" w:rsidRPr="00D04271" w:rsidRDefault="00E97251" w:rsidP="00B66121">
            <w:pPr>
              <w:widowControl w:val="0"/>
              <w:jc w:val="center"/>
              <w:rPr>
                <w:b/>
                <w:szCs w:val="24"/>
              </w:rPr>
            </w:pPr>
            <w:r w:rsidRPr="00D04271">
              <w:rPr>
                <w:b/>
                <w:szCs w:val="24"/>
              </w:rPr>
              <w:t>Variable=0</w:t>
            </w:r>
          </w:p>
          <w:p w:rsidR="00E97251" w:rsidRPr="00D04271" w:rsidRDefault="00E97251" w:rsidP="00B66121">
            <w:pPr>
              <w:widowControl w:val="0"/>
              <w:jc w:val="center"/>
              <w:rPr>
                <w:b/>
                <w:szCs w:val="24"/>
              </w:rPr>
            </w:pPr>
            <w:r w:rsidRPr="00D04271">
              <w:rPr>
                <w:b/>
                <w:szCs w:val="24"/>
              </w:rPr>
              <w:t>% disputed</w:t>
            </w:r>
          </w:p>
        </w:tc>
        <w:tc>
          <w:tcPr>
            <w:tcW w:w="1641" w:type="dxa"/>
            <w:vAlign w:val="center"/>
          </w:tcPr>
          <w:p w:rsidR="00E97251" w:rsidRPr="00D04271" w:rsidRDefault="00E97251" w:rsidP="00B66121">
            <w:pPr>
              <w:widowControl w:val="0"/>
              <w:jc w:val="center"/>
              <w:rPr>
                <w:b/>
                <w:szCs w:val="24"/>
              </w:rPr>
            </w:pPr>
            <w:r w:rsidRPr="00D04271">
              <w:rPr>
                <w:b/>
                <w:szCs w:val="24"/>
              </w:rPr>
              <w:t>Variable=1</w:t>
            </w:r>
          </w:p>
          <w:p w:rsidR="00E97251" w:rsidRPr="00D04271" w:rsidRDefault="00E97251" w:rsidP="00B66121">
            <w:pPr>
              <w:widowControl w:val="0"/>
              <w:jc w:val="center"/>
              <w:rPr>
                <w:b/>
                <w:szCs w:val="24"/>
              </w:rPr>
            </w:pPr>
            <w:r w:rsidRPr="00D04271">
              <w:rPr>
                <w:b/>
                <w:szCs w:val="24"/>
              </w:rPr>
              <w:t>% disputed</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GREG partition</w:t>
            </w:r>
          </w:p>
        </w:tc>
        <w:tc>
          <w:tcPr>
            <w:tcW w:w="1641" w:type="dxa"/>
            <w:vAlign w:val="bottom"/>
          </w:tcPr>
          <w:p w:rsidR="00E97251" w:rsidRPr="00D04271" w:rsidRDefault="00E97251" w:rsidP="00B66121">
            <w:pPr>
              <w:jc w:val="center"/>
              <w:rPr>
                <w:szCs w:val="24"/>
              </w:rPr>
            </w:pPr>
            <w:r w:rsidRPr="00D04271">
              <w:rPr>
                <w:szCs w:val="24"/>
              </w:rPr>
              <w:t>73.8</w:t>
            </w:r>
          </w:p>
        </w:tc>
        <w:tc>
          <w:tcPr>
            <w:tcW w:w="1641" w:type="dxa"/>
            <w:vAlign w:val="bottom"/>
          </w:tcPr>
          <w:p w:rsidR="00E97251" w:rsidRPr="00D04271" w:rsidRDefault="00E97251" w:rsidP="00B66121">
            <w:pPr>
              <w:jc w:val="center"/>
              <w:rPr>
                <w:szCs w:val="24"/>
              </w:rPr>
            </w:pPr>
            <w:r w:rsidRPr="00D04271">
              <w:rPr>
                <w:szCs w:val="24"/>
              </w:rPr>
              <w:t>9.6</w:t>
            </w:r>
          </w:p>
        </w:tc>
        <w:tc>
          <w:tcPr>
            <w:tcW w:w="1641" w:type="dxa"/>
            <w:vAlign w:val="bottom"/>
          </w:tcPr>
          <w:p w:rsidR="00E97251" w:rsidRPr="00D04271" w:rsidRDefault="00E97251" w:rsidP="00B66121">
            <w:pPr>
              <w:jc w:val="center"/>
              <w:rPr>
                <w:szCs w:val="24"/>
              </w:rPr>
            </w:pPr>
            <w:r w:rsidRPr="00D04271">
              <w:rPr>
                <w:szCs w:val="24"/>
              </w:rPr>
              <w:t>12</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 xml:space="preserve">GREG </w:t>
            </w:r>
            <w:r w:rsidR="008D11BF">
              <w:rPr>
                <w:szCs w:val="24"/>
              </w:rPr>
              <w:t xml:space="preserve">partition and </w:t>
            </w:r>
            <w:r w:rsidRPr="00D04271">
              <w:rPr>
                <w:szCs w:val="24"/>
              </w:rPr>
              <w:t>1</w:t>
            </w:r>
            <w:r w:rsidRPr="00D04271">
              <w:rPr>
                <w:szCs w:val="24"/>
                <w:vertAlign w:val="superscript"/>
              </w:rPr>
              <w:t>st</w:t>
            </w:r>
            <w:r w:rsidRPr="00D04271">
              <w:rPr>
                <w:szCs w:val="24"/>
              </w:rPr>
              <w:t xml:space="preserve"> leader</w:t>
            </w:r>
          </w:p>
        </w:tc>
        <w:tc>
          <w:tcPr>
            <w:tcW w:w="1641" w:type="dxa"/>
            <w:vAlign w:val="bottom"/>
          </w:tcPr>
          <w:p w:rsidR="00E97251" w:rsidRPr="00D04271" w:rsidRDefault="00E97251" w:rsidP="00B66121">
            <w:pPr>
              <w:jc w:val="center"/>
              <w:rPr>
                <w:szCs w:val="24"/>
              </w:rPr>
            </w:pPr>
            <w:r w:rsidRPr="00D04271">
              <w:rPr>
                <w:szCs w:val="24"/>
              </w:rPr>
              <w:t>18.5</w:t>
            </w:r>
          </w:p>
        </w:tc>
        <w:tc>
          <w:tcPr>
            <w:tcW w:w="1641" w:type="dxa"/>
            <w:vAlign w:val="bottom"/>
          </w:tcPr>
          <w:p w:rsidR="00E97251" w:rsidRPr="00D04271" w:rsidRDefault="00E97251" w:rsidP="00B66121">
            <w:pPr>
              <w:jc w:val="center"/>
              <w:rPr>
                <w:szCs w:val="24"/>
              </w:rPr>
            </w:pPr>
            <w:r w:rsidRPr="00D04271">
              <w:rPr>
                <w:szCs w:val="24"/>
              </w:rPr>
              <w:t>6.6</w:t>
            </w:r>
          </w:p>
        </w:tc>
        <w:tc>
          <w:tcPr>
            <w:tcW w:w="1641" w:type="dxa"/>
            <w:vAlign w:val="bottom"/>
          </w:tcPr>
          <w:p w:rsidR="00E97251" w:rsidRPr="00D04271" w:rsidRDefault="00E97251" w:rsidP="00B66121">
            <w:pPr>
              <w:jc w:val="center"/>
              <w:rPr>
                <w:szCs w:val="24"/>
              </w:rPr>
            </w:pPr>
            <w:r w:rsidRPr="00D04271">
              <w:rPr>
                <w:szCs w:val="24"/>
              </w:rPr>
              <w:t>32.5</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EPR partition</w:t>
            </w:r>
          </w:p>
        </w:tc>
        <w:tc>
          <w:tcPr>
            <w:tcW w:w="1641" w:type="dxa"/>
            <w:vAlign w:val="bottom"/>
          </w:tcPr>
          <w:p w:rsidR="00E97251" w:rsidRPr="00D04271" w:rsidRDefault="00E97251" w:rsidP="00B66121">
            <w:pPr>
              <w:jc w:val="center"/>
              <w:rPr>
                <w:szCs w:val="24"/>
              </w:rPr>
            </w:pPr>
            <w:r w:rsidRPr="00D04271">
              <w:rPr>
                <w:szCs w:val="24"/>
              </w:rPr>
              <w:t>30.6</w:t>
            </w:r>
          </w:p>
        </w:tc>
        <w:tc>
          <w:tcPr>
            <w:tcW w:w="1641" w:type="dxa"/>
            <w:vAlign w:val="bottom"/>
          </w:tcPr>
          <w:p w:rsidR="00E97251" w:rsidRPr="00D04271" w:rsidRDefault="00E97251" w:rsidP="00B66121">
            <w:pPr>
              <w:jc w:val="center"/>
              <w:rPr>
                <w:szCs w:val="24"/>
              </w:rPr>
            </w:pPr>
            <w:r w:rsidRPr="00D04271">
              <w:rPr>
                <w:szCs w:val="24"/>
              </w:rPr>
              <w:t>10.3</w:t>
            </w:r>
          </w:p>
        </w:tc>
        <w:tc>
          <w:tcPr>
            <w:tcW w:w="1641" w:type="dxa"/>
            <w:vAlign w:val="bottom"/>
          </w:tcPr>
          <w:p w:rsidR="00E97251" w:rsidRPr="00D04271" w:rsidRDefault="00E97251" w:rsidP="00B66121">
            <w:pPr>
              <w:jc w:val="center"/>
              <w:rPr>
                <w:szCs w:val="24"/>
              </w:rPr>
            </w:pPr>
            <w:r w:rsidRPr="00D04271">
              <w:rPr>
                <w:szCs w:val="24"/>
              </w:rPr>
              <w:t>13.9</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EPR partition &amp; in control in Claimant</w:t>
            </w:r>
          </w:p>
        </w:tc>
        <w:tc>
          <w:tcPr>
            <w:tcW w:w="1641" w:type="dxa"/>
            <w:vAlign w:val="bottom"/>
          </w:tcPr>
          <w:p w:rsidR="00E97251" w:rsidRPr="00D04271" w:rsidRDefault="00E97251" w:rsidP="00B66121">
            <w:pPr>
              <w:jc w:val="center"/>
              <w:rPr>
                <w:szCs w:val="24"/>
              </w:rPr>
            </w:pPr>
            <w:r w:rsidRPr="00D04271">
              <w:rPr>
                <w:szCs w:val="24"/>
              </w:rPr>
              <w:t>8.9</w:t>
            </w:r>
          </w:p>
        </w:tc>
        <w:tc>
          <w:tcPr>
            <w:tcW w:w="1641" w:type="dxa"/>
            <w:vAlign w:val="bottom"/>
          </w:tcPr>
          <w:p w:rsidR="00E97251" w:rsidRPr="00D04271" w:rsidRDefault="00E97251" w:rsidP="00B66121">
            <w:pPr>
              <w:jc w:val="center"/>
              <w:rPr>
                <w:szCs w:val="24"/>
              </w:rPr>
            </w:pPr>
            <w:r w:rsidRPr="00D04271">
              <w:rPr>
                <w:szCs w:val="24"/>
              </w:rPr>
              <w:t>9.2</w:t>
            </w:r>
          </w:p>
        </w:tc>
        <w:tc>
          <w:tcPr>
            <w:tcW w:w="1641" w:type="dxa"/>
            <w:vAlign w:val="bottom"/>
          </w:tcPr>
          <w:p w:rsidR="00E97251" w:rsidRPr="00D04271" w:rsidRDefault="00E97251" w:rsidP="00B66121">
            <w:pPr>
              <w:jc w:val="center"/>
              <w:rPr>
                <w:szCs w:val="24"/>
              </w:rPr>
            </w:pPr>
            <w:r w:rsidRPr="00D04271">
              <w:rPr>
                <w:szCs w:val="24"/>
              </w:rPr>
              <w:t>33.3</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EPR partition &amp; in coalition in Claimant</w:t>
            </w:r>
          </w:p>
        </w:tc>
        <w:tc>
          <w:tcPr>
            <w:tcW w:w="1641" w:type="dxa"/>
            <w:vAlign w:val="bottom"/>
          </w:tcPr>
          <w:p w:rsidR="00E97251" w:rsidRPr="00D04271" w:rsidRDefault="00E97251" w:rsidP="00B66121">
            <w:pPr>
              <w:jc w:val="center"/>
              <w:rPr>
                <w:szCs w:val="24"/>
              </w:rPr>
            </w:pPr>
            <w:r w:rsidRPr="00D04271">
              <w:rPr>
                <w:szCs w:val="24"/>
              </w:rPr>
              <w:t>7.2</w:t>
            </w:r>
          </w:p>
        </w:tc>
        <w:tc>
          <w:tcPr>
            <w:tcW w:w="1641" w:type="dxa"/>
            <w:vAlign w:val="bottom"/>
          </w:tcPr>
          <w:p w:rsidR="00E97251" w:rsidRPr="00D04271" w:rsidRDefault="00E97251" w:rsidP="00B66121">
            <w:pPr>
              <w:jc w:val="center"/>
              <w:rPr>
                <w:szCs w:val="24"/>
              </w:rPr>
            </w:pPr>
            <w:r w:rsidRPr="00D04271">
              <w:rPr>
                <w:szCs w:val="24"/>
              </w:rPr>
              <w:t>12.2</w:t>
            </w:r>
          </w:p>
        </w:tc>
        <w:tc>
          <w:tcPr>
            <w:tcW w:w="1641" w:type="dxa"/>
            <w:vAlign w:val="bottom"/>
          </w:tcPr>
          <w:p w:rsidR="00E97251" w:rsidRPr="00D04271" w:rsidRDefault="00E97251" w:rsidP="00B66121">
            <w:pPr>
              <w:jc w:val="center"/>
              <w:rPr>
                <w:szCs w:val="24"/>
              </w:rPr>
            </w:pPr>
            <w:r w:rsidRPr="00D04271">
              <w:rPr>
                <w:szCs w:val="24"/>
              </w:rPr>
              <w:t>1.5</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EPR partition &amp; powerless in Claimant</w:t>
            </w:r>
          </w:p>
        </w:tc>
        <w:tc>
          <w:tcPr>
            <w:tcW w:w="1641" w:type="dxa"/>
            <w:vAlign w:val="bottom"/>
          </w:tcPr>
          <w:p w:rsidR="00E97251" w:rsidRPr="00D04271" w:rsidRDefault="00E97251" w:rsidP="00B66121">
            <w:pPr>
              <w:jc w:val="center"/>
              <w:rPr>
                <w:szCs w:val="24"/>
              </w:rPr>
            </w:pPr>
            <w:r w:rsidRPr="00D04271">
              <w:rPr>
                <w:szCs w:val="24"/>
              </w:rPr>
              <w:t>14.4</w:t>
            </w:r>
          </w:p>
        </w:tc>
        <w:tc>
          <w:tcPr>
            <w:tcW w:w="1641" w:type="dxa"/>
            <w:vAlign w:val="bottom"/>
          </w:tcPr>
          <w:p w:rsidR="00E97251" w:rsidRPr="00D04271" w:rsidRDefault="00E97251" w:rsidP="00B66121">
            <w:pPr>
              <w:jc w:val="center"/>
              <w:rPr>
                <w:szCs w:val="24"/>
              </w:rPr>
            </w:pPr>
            <w:r w:rsidRPr="00D04271">
              <w:rPr>
                <w:szCs w:val="24"/>
              </w:rPr>
              <w:t>11.9</w:t>
            </w:r>
          </w:p>
        </w:tc>
        <w:tc>
          <w:tcPr>
            <w:tcW w:w="1641" w:type="dxa"/>
            <w:vAlign w:val="bottom"/>
          </w:tcPr>
          <w:p w:rsidR="00E97251" w:rsidRPr="00D04271" w:rsidRDefault="00E97251" w:rsidP="00B66121">
            <w:pPr>
              <w:jc w:val="center"/>
              <w:rPr>
                <w:szCs w:val="24"/>
              </w:rPr>
            </w:pPr>
            <w:r w:rsidRPr="00D04271">
              <w:rPr>
                <w:szCs w:val="24"/>
              </w:rPr>
              <w:t>8.1</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EPR partition &amp; powerless in Target</w:t>
            </w:r>
          </w:p>
        </w:tc>
        <w:tc>
          <w:tcPr>
            <w:tcW w:w="1641" w:type="dxa"/>
            <w:vAlign w:val="bottom"/>
          </w:tcPr>
          <w:p w:rsidR="00E97251" w:rsidRPr="00D04271" w:rsidRDefault="00E97251" w:rsidP="00B66121">
            <w:pPr>
              <w:jc w:val="center"/>
              <w:rPr>
                <w:szCs w:val="24"/>
              </w:rPr>
            </w:pPr>
            <w:r w:rsidRPr="00D04271">
              <w:rPr>
                <w:szCs w:val="24"/>
              </w:rPr>
              <w:t>14.4</w:t>
            </w:r>
          </w:p>
        </w:tc>
        <w:tc>
          <w:tcPr>
            <w:tcW w:w="1641" w:type="dxa"/>
            <w:vAlign w:val="bottom"/>
          </w:tcPr>
          <w:p w:rsidR="00E97251" w:rsidRPr="00D04271" w:rsidRDefault="00E97251" w:rsidP="00B66121">
            <w:pPr>
              <w:jc w:val="center"/>
              <w:rPr>
                <w:szCs w:val="24"/>
              </w:rPr>
            </w:pPr>
            <w:r w:rsidRPr="00D04271">
              <w:rPr>
                <w:szCs w:val="24"/>
              </w:rPr>
              <w:t>10</w:t>
            </w:r>
          </w:p>
        </w:tc>
        <w:tc>
          <w:tcPr>
            <w:tcW w:w="1641" w:type="dxa"/>
            <w:vAlign w:val="bottom"/>
          </w:tcPr>
          <w:p w:rsidR="00E97251" w:rsidRPr="00D04271" w:rsidRDefault="00E97251" w:rsidP="00B66121">
            <w:pPr>
              <w:jc w:val="center"/>
              <w:rPr>
                <w:szCs w:val="24"/>
              </w:rPr>
            </w:pPr>
            <w:r w:rsidRPr="00D04271">
              <w:rPr>
                <w:szCs w:val="24"/>
              </w:rPr>
              <w:t>19.6</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Murdock partition</w:t>
            </w:r>
          </w:p>
        </w:tc>
        <w:tc>
          <w:tcPr>
            <w:tcW w:w="1641" w:type="dxa"/>
            <w:vAlign w:val="bottom"/>
          </w:tcPr>
          <w:p w:rsidR="00E97251" w:rsidRPr="00D04271" w:rsidRDefault="00E97251" w:rsidP="00B66121">
            <w:pPr>
              <w:jc w:val="center"/>
              <w:rPr>
                <w:szCs w:val="24"/>
              </w:rPr>
            </w:pPr>
            <w:r w:rsidRPr="00D04271">
              <w:rPr>
                <w:szCs w:val="24"/>
              </w:rPr>
              <w:t>93.2</w:t>
            </w:r>
          </w:p>
        </w:tc>
        <w:tc>
          <w:tcPr>
            <w:tcW w:w="1641" w:type="dxa"/>
            <w:vAlign w:val="bottom"/>
          </w:tcPr>
          <w:p w:rsidR="00E97251" w:rsidRPr="00D04271" w:rsidRDefault="004C0444" w:rsidP="00B66121">
            <w:pPr>
              <w:jc w:val="center"/>
              <w:rPr>
                <w:szCs w:val="24"/>
              </w:rPr>
            </w:pPr>
            <w:r>
              <w:rPr>
                <w:szCs w:val="24"/>
              </w:rPr>
              <w:t>13.0</w:t>
            </w:r>
          </w:p>
        </w:tc>
        <w:tc>
          <w:tcPr>
            <w:tcW w:w="1641" w:type="dxa"/>
            <w:vAlign w:val="bottom"/>
          </w:tcPr>
          <w:p w:rsidR="00E97251" w:rsidRPr="00D04271" w:rsidRDefault="00E97251" w:rsidP="00B66121">
            <w:pPr>
              <w:jc w:val="center"/>
              <w:rPr>
                <w:szCs w:val="24"/>
              </w:rPr>
            </w:pPr>
            <w:r w:rsidRPr="00D04271">
              <w:rPr>
                <w:szCs w:val="24"/>
              </w:rPr>
              <w:t>11.3</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 xml:space="preserve">Murdock </w:t>
            </w:r>
            <w:r w:rsidR="008D11BF">
              <w:rPr>
                <w:szCs w:val="24"/>
              </w:rPr>
              <w:t xml:space="preserve">partition and </w:t>
            </w:r>
            <w:r w:rsidRPr="00D04271">
              <w:rPr>
                <w:szCs w:val="24"/>
              </w:rPr>
              <w:t>1</w:t>
            </w:r>
            <w:r w:rsidRPr="00D04271">
              <w:rPr>
                <w:szCs w:val="24"/>
                <w:vertAlign w:val="superscript"/>
              </w:rPr>
              <w:t>st</w:t>
            </w:r>
            <w:r w:rsidRPr="00D04271">
              <w:rPr>
                <w:szCs w:val="24"/>
              </w:rPr>
              <w:t xml:space="preserve"> leader</w:t>
            </w:r>
          </w:p>
        </w:tc>
        <w:tc>
          <w:tcPr>
            <w:tcW w:w="1641" w:type="dxa"/>
            <w:vAlign w:val="bottom"/>
          </w:tcPr>
          <w:p w:rsidR="00E97251" w:rsidRPr="00D04271" w:rsidRDefault="00E97251" w:rsidP="004C0444">
            <w:pPr>
              <w:jc w:val="center"/>
              <w:rPr>
                <w:szCs w:val="24"/>
              </w:rPr>
            </w:pPr>
            <w:r w:rsidRPr="00D04271">
              <w:rPr>
                <w:szCs w:val="24"/>
              </w:rPr>
              <w:t>6.</w:t>
            </w:r>
            <w:r w:rsidR="004C0444">
              <w:rPr>
                <w:szCs w:val="24"/>
              </w:rPr>
              <w:t>5</w:t>
            </w:r>
          </w:p>
        </w:tc>
        <w:tc>
          <w:tcPr>
            <w:tcW w:w="1641" w:type="dxa"/>
            <w:vAlign w:val="bottom"/>
          </w:tcPr>
          <w:p w:rsidR="00E97251" w:rsidRPr="00D04271" w:rsidRDefault="00E97251" w:rsidP="00B66121">
            <w:pPr>
              <w:jc w:val="center"/>
              <w:rPr>
                <w:szCs w:val="24"/>
              </w:rPr>
            </w:pPr>
            <w:r w:rsidRPr="00D04271">
              <w:rPr>
                <w:szCs w:val="24"/>
              </w:rPr>
              <w:t>1</w:t>
            </w:r>
            <w:r w:rsidR="004C0444">
              <w:rPr>
                <w:szCs w:val="24"/>
              </w:rPr>
              <w:t>0.8</w:t>
            </w:r>
          </w:p>
        </w:tc>
        <w:tc>
          <w:tcPr>
            <w:tcW w:w="1641" w:type="dxa"/>
            <w:vAlign w:val="bottom"/>
          </w:tcPr>
          <w:p w:rsidR="00E97251" w:rsidRPr="00D04271" w:rsidRDefault="004C0444" w:rsidP="00B66121">
            <w:pPr>
              <w:jc w:val="center"/>
              <w:rPr>
                <w:szCs w:val="24"/>
              </w:rPr>
            </w:pPr>
            <w:r>
              <w:rPr>
                <w:szCs w:val="24"/>
              </w:rPr>
              <w:t>17.8</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Oil in Target</w:t>
            </w:r>
          </w:p>
        </w:tc>
        <w:tc>
          <w:tcPr>
            <w:tcW w:w="1641" w:type="dxa"/>
            <w:vAlign w:val="bottom"/>
          </w:tcPr>
          <w:p w:rsidR="00E97251" w:rsidRPr="00D04271" w:rsidRDefault="00E97251" w:rsidP="00B66121">
            <w:pPr>
              <w:jc w:val="center"/>
              <w:rPr>
                <w:szCs w:val="24"/>
              </w:rPr>
            </w:pPr>
            <w:r w:rsidRPr="00D04271">
              <w:rPr>
                <w:szCs w:val="24"/>
              </w:rPr>
              <w:t>43.1</w:t>
            </w:r>
          </w:p>
        </w:tc>
        <w:tc>
          <w:tcPr>
            <w:tcW w:w="1641" w:type="dxa"/>
            <w:vAlign w:val="bottom"/>
          </w:tcPr>
          <w:p w:rsidR="00E97251" w:rsidRPr="00D04271" w:rsidRDefault="00E97251" w:rsidP="00B66121">
            <w:pPr>
              <w:jc w:val="center"/>
              <w:rPr>
                <w:szCs w:val="24"/>
              </w:rPr>
            </w:pPr>
            <w:r w:rsidRPr="00D04271">
              <w:rPr>
                <w:szCs w:val="24"/>
              </w:rPr>
              <w:t>13.4</w:t>
            </w:r>
          </w:p>
        </w:tc>
        <w:tc>
          <w:tcPr>
            <w:tcW w:w="1641" w:type="dxa"/>
            <w:vAlign w:val="bottom"/>
          </w:tcPr>
          <w:p w:rsidR="00E97251" w:rsidRPr="00D04271" w:rsidRDefault="00E97251" w:rsidP="00B66121">
            <w:pPr>
              <w:jc w:val="center"/>
              <w:rPr>
                <w:szCs w:val="24"/>
              </w:rPr>
            </w:pPr>
            <w:r w:rsidRPr="00D04271">
              <w:rPr>
                <w:szCs w:val="24"/>
              </w:rPr>
              <w:t>8.7</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Minerals in Target</w:t>
            </w:r>
          </w:p>
        </w:tc>
        <w:tc>
          <w:tcPr>
            <w:tcW w:w="1641" w:type="dxa"/>
            <w:vAlign w:val="bottom"/>
          </w:tcPr>
          <w:p w:rsidR="00E97251" w:rsidRPr="00D04271" w:rsidRDefault="00E97251" w:rsidP="00B66121">
            <w:pPr>
              <w:jc w:val="center"/>
              <w:rPr>
                <w:szCs w:val="24"/>
              </w:rPr>
            </w:pPr>
            <w:r w:rsidRPr="00D04271">
              <w:rPr>
                <w:szCs w:val="24"/>
              </w:rPr>
              <w:t>91.9</w:t>
            </w:r>
          </w:p>
        </w:tc>
        <w:tc>
          <w:tcPr>
            <w:tcW w:w="1641" w:type="dxa"/>
            <w:vAlign w:val="bottom"/>
          </w:tcPr>
          <w:p w:rsidR="00E97251" w:rsidRPr="00D04271" w:rsidRDefault="00E97251" w:rsidP="00B66121">
            <w:pPr>
              <w:jc w:val="center"/>
              <w:rPr>
                <w:szCs w:val="24"/>
              </w:rPr>
            </w:pPr>
            <w:r w:rsidRPr="00D04271">
              <w:rPr>
                <w:szCs w:val="24"/>
              </w:rPr>
              <w:t>9.7</w:t>
            </w:r>
          </w:p>
        </w:tc>
        <w:tc>
          <w:tcPr>
            <w:tcW w:w="1641" w:type="dxa"/>
            <w:vAlign w:val="bottom"/>
          </w:tcPr>
          <w:p w:rsidR="00E97251" w:rsidRPr="00D04271" w:rsidRDefault="00E97251" w:rsidP="00B66121">
            <w:pPr>
              <w:jc w:val="center"/>
              <w:rPr>
                <w:szCs w:val="24"/>
              </w:rPr>
            </w:pPr>
            <w:r w:rsidRPr="00D04271">
              <w:rPr>
                <w:szCs w:val="24"/>
              </w:rPr>
              <w:t>11.5</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 xml:space="preserve">Minerals in </w:t>
            </w:r>
            <w:r>
              <w:rPr>
                <w:szCs w:val="24"/>
              </w:rPr>
              <w:t xml:space="preserve">EPR </w:t>
            </w:r>
            <w:r w:rsidRPr="00D04271">
              <w:rPr>
                <w:szCs w:val="24"/>
              </w:rPr>
              <w:t>partitioned group in target</w:t>
            </w:r>
          </w:p>
        </w:tc>
        <w:tc>
          <w:tcPr>
            <w:tcW w:w="1641" w:type="dxa"/>
            <w:vAlign w:val="bottom"/>
          </w:tcPr>
          <w:p w:rsidR="00E97251" w:rsidRPr="00D04271" w:rsidRDefault="00E97251" w:rsidP="00B66121">
            <w:pPr>
              <w:jc w:val="center"/>
              <w:rPr>
                <w:szCs w:val="24"/>
              </w:rPr>
            </w:pPr>
            <w:r w:rsidRPr="00D04271">
              <w:rPr>
                <w:szCs w:val="24"/>
              </w:rPr>
              <w:t>25.1</w:t>
            </w:r>
          </w:p>
        </w:tc>
        <w:tc>
          <w:tcPr>
            <w:tcW w:w="1641" w:type="dxa"/>
            <w:vAlign w:val="bottom"/>
          </w:tcPr>
          <w:p w:rsidR="00E97251" w:rsidRPr="00D04271" w:rsidRDefault="00E97251" w:rsidP="00B66121">
            <w:pPr>
              <w:jc w:val="center"/>
              <w:rPr>
                <w:szCs w:val="24"/>
              </w:rPr>
            </w:pPr>
            <w:r w:rsidRPr="00D04271">
              <w:rPr>
                <w:szCs w:val="24"/>
              </w:rPr>
              <w:t>11.2</w:t>
            </w:r>
          </w:p>
        </w:tc>
        <w:tc>
          <w:tcPr>
            <w:tcW w:w="1641" w:type="dxa"/>
            <w:vAlign w:val="bottom"/>
          </w:tcPr>
          <w:p w:rsidR="00E97251" w:rsidRPr="00D04271" w:rsidRDefault="00E97251" w:rsidP="00B66121">
            <w:pPr>
              <w:jc w:val="center"/>
              <w:rPr>
                <w:szCs w:val="24"/>
              </w:rPr>
            </w:pPr>
            <w:r w:rsidRPr="00D04271">
              <w:rPr>
                <w:szCs w:val="24"/>
              </w:rPr>
              <w:t>11.9</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Watershed border</w:t>
            </w:r>
          </w:p>
        </w:tc>
        <w:tc>
          <w:tcPr>
            <w:tcW w:w="1641" w:type="dxa"/>
            <w:vAlign w:val="bottom"/>
          </w:tcPr>
          <w:p w:rsidR="00E97251" w:rsidRPr="00D04271" w:rsidRDefault="00E97251" w:rsidP="00B66121">
            <w:pPr>
              <w:jc w:val="center"/>
              <w:rPr>
                <w:szCs w:val="24"/>
              </w:rPr>
            </w:pPr>
            <w:r w:rsidRPr="00D04271">
              <w:rPr>
                <w:szCs w:val="24"/>
              </w:rPr>
              <w:t>6.9</w:t>
            </w:r>
          </w:p>
        </w:tc>
        <w:tc>
          <w:tcPr>
            <w:tcW w:w="1641" w:type="dxa"/>
            <w:vAlign w:val="bottom"/>
          </w:tcPr>
          <w:p w:rsidR="00E97251" w:rsidRPr="00D04271" w:rsidRDefault="00E97251" w:rsidP="00B66121">
            <w:pPr>
              <w:jc w:val="center"/>
              <w:rPr>
                <w:szCs w:val="24"/>
              </w:rPr>
            </w:pPr>
            <w:r w:rsidRPr="00D04271">
              <w:rPr>
                <w:szCs w:val="24"/>
              </w:rPr>
              <w:t>12.1</w:t>
            </w:r>
          </w:p>
        </w:tc>
        <w:tc>
          <w:tcPr>
            <w:tcW w:w="1641" w:type="dxa"/>
            <w:vAlign w:val="bottom"/>
          </w:tcPr>
          <w:p w:rsidR="00E97251" w:rsidRPr="00D04271" w:rsidRDefault="00E97251" w:rsidP="00B66121">
            <w:pPr>
              <w:jc w:val="center"/>
              <w:rPr>
                <w:szCs w:val="24"/>
              </w:rPr>
            </w:pPr>
            <w:r w:rsidRPr="00D04271">
              <w:rPr>
                <w:szCs w:val="24"/>
              </w:rPr>
              <w:t>1.3</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River border</w:t>
            </w:r>
          </w:p>
        </w:tc>
        <w:tc>
          <w:tcPr>
            <w:tcW w:w="1641" w:type="dxa"/>
            <w:vAlign w:val="bottom"/>
          </w:tcPr>
          <w:p w:rsidR="00E97251" w:rsidRPr="00D04271" w:rsidRDefault="00E97251" w:rsidP="00B66121">
            <w:pPr>
              <w:jc w:val="center"/>
              <w:rPr>
                <w:szCs w:val="24"/>
              </w:rPr>
            </w:pPr>
            <w:r w:rsidRPr="00D04271">
              <w:rPr>
                <w:szCs w:val="24"/>
              </w:rPr>
              <w:t>29.5</w:t>
            </w:r>
          </w:p>
        </w:tc>
        <w:tc>
          <w:tcPr>
            <w:tcW w:w="1641" w:type="dxa"/>
            <w:vAlign w:val="bottom"/>
          </w:tcPr>
          <w:p w:rsidR="00E97251" w:rsidRPr="00D04271" w:rsidRDefault="00E97251" w:rsidP="00B66121">
            <w:pPr>
              <w:jc w:val="center"/>
              <w:rPr>
                <w:szCs w:val="24"/>
              </w:rPr>
            </w:pPr>
            <w:r w:rsidRPr="00D04271">
              <w:rPr>
                <w:szCs w:val="24"/>
              </w:rPr>
              <w:t>13.9</w:t>
            </w:r>
          </w:p>
        </w:tc>
        <w:tc>
          <w:tcPr>
            <w:tcW w:w="1641" w:type="dxa"/>
            <w:vAlign w:val="bottom"/>
          </w:tcPr>
          <w:p w:rsidR="00E97251" w:rsidRPr="00D04271" w:rsidRDefault="00E97251" w:rsidP="00B66121">
            <w:pPr>
              <w:jc w:val="center"/>
              <w:rPr>
                <w:szCs w:val="24"/>
              </w:rPr>
            </w:pPr>
            <w:r w:rsidRPr="00D04271">
              <w:rPr>
                <w:szCs w:val="24"/>
              </w:rPr>
              <w:t>5.4</w:t>
            </w:r>
          </w:p>
        </w:tc>
      </w:tr>
      <w:tr w:rsidR="00E97251" w:rsidRPr="00D04271" w:rsidTr="00E97251">
        <w:trPr>
          <w:jc w:val="center"/>
        </w:trPr>
        <w:tc>
          <w:tcPr>
            <w:tcW w:w="4523" w:type="dxa"/>
            <w:vAlign w:val="bottom"/>
          </w:tcPr>
          <w:p w:rsidR="00E97251" w:rsidRPr="00D04271" w:rsidRDefault="00E97251" w:rsidP="00B66121">
            <w:pPr>
              <w:jc w:val="center"/>
              <w:rPr>
                <w:szCs w:val="24"/>
              </w:rPr>
            </w:pPr>
            <w:r w:rsidRPr="00D04271">
              <w:rPr>
                <w:szCs w:val="24"/>
              </w:rPr>
              <w:t>Straight line border</w:t>
            </w:r>
          </w:p>
        </w:tc>
        <w:tc>
          <w:tcPr>
            <w:tcW w:w="1641" w:type="dxa"/>
            <w:vAlign w:val="bottom"/>
          </w:tcPr>
          <w:p w:rsidR="00E97251" w:rsidRPr="00D04271" w:rsidRDefault="00E97251" w:rsidP="00B66121">
            <w:pPr>
              <w:jc w:val="center"/>
              <w:rPr>
                <w:szCs w:val="24"/>
              </w:rPr>
            </w:pPr>
            <w:r w:rsidRPr="00D04271">
              <w:rPr>
                <w:szCs w:val="24"/>
              </w:rPr>
              <w:t>30.7</w:t>
            </w:r>
          </w:p>
        </w:tc>
        <w:tc>
          <w:tcPr>
            <w:tcW w:w="1641" w:type="dxa"/>
            <w:vAlign w:val="bottom"/>
          </w:tcPr>
          <w:p w:rsidR="00E97251" w:rsidRPr="00D04271" w:rsidRDefault="00E97251" w:rsidP="00B66121">
            <w:pPr>
              <w:jc w:val="center"/>
              <w:rPr>
                <w:szCs w:val="24"/>
              </w:rPr>
            </w:pPr>
            <w:r w:rsidRPr="00D04271">
              <w:rPr>
                <w:szCs w:val="24"/>
              </w:rPr>
              <w:t>7.9</w:t>
            </w:r>
          </w:p>
        </w:tc>
        <w:tc>
          <w:tcPr>
            <w:tcW w:w="1641" w:type="dxa"/>
            <w:vAlign w:val="bottom"/>
          </w:tcPr>
          <w:p w:rsidR="00E97251" w:rsidRPr="00D04271" w:rsidRDefault="00E97251" w:rsidP="00B66121">
            <w:pPr>
              <w:jc w:val="center"/>
              <w:rPr>
                <w:szCs w:val="24"/>
              </w:rPr>
            </w:pPr>
            <w:r w:rsidRPr="00D04271">
              <w:rPr>
                <w:szCs w:val="24"/>
              </w:rPr>
              <w:t>19.2</w:t>
            </w:r>
          </w:p>
        </w:tc>
      </w:tr>
      <w:tr w:rsidR="00E97251" w:rsidRPr="00D04271" w:rsidTr="00E97251">
        <w:trPr>
          <w:jc w:val="center"/>
        </w:trPr>
        <w:tc>
          <w:tcPr>
            <w:tcW w:w="4523" w:type="dxa"/>
            <w:vAlign w:val="bottom"/>
          </w:tcPr>
          <w:p w:rsidR="00E97251" w:rsidRPr="00D04271" w:rsidRDefault="00E97251" w:rsidP="00B66121">
            <w:pPr>
              <w:jc w:val="center"/>
              <w:rPr>
                <w:color w:val="000000"/>
                <w:szCs w:val="24"/>
              </w:rPr>
            </w:pPr>
            <w:r w:rsidRPr="00D04271">
              <w:rPr>
                <w:color w:val="000000"/>
                <w:szCs w:val="24"/>
              </w:rPr>
              <w:t>Demarcated at independence</w:t>
            </w:r>
          </w:p>
        </w:tc>
        <w:tc>
          <w:tcPr>
            <w:tcW w:w="1641" w:type="dxa"/>
            <w:vAlign w:val="bottom"/>
          </w:tcPr>
          <w:p w:rsidR="00E97251" w:rsidRPr="00D04271" w:rsidRDefault="00E97251" w:rsidP="00B66121">
            <w:pPr>
              <w:jc w:val="center"/>
              <w:rPr>
                <w:color w:val="000000"/>
                <w:szCs w:val="24"/>
              </w:rPr>
            </w:pPr>
            <w:r w:rsidRPr="00D04271">
              <w:rPr>
                <w:color w:val="000000"/>
                <w:szCs w:val="24"/>
              </w:rPr>
              <w:t>34.8</w:t>
            </w:r>
          </w:p>
        </w:tc>
        <w:tc>
          <w:tcPr>
            <w:tcW w:w="1641" w:type="dxa"/>
            <w:vAlign w:val="bottom"/>
          </w:tcPr>
          <w:p w:rsidR="00E97251" w:rsidRPr="00D04271" w:rsidRDefault="00E97251" w:rsidP="00B66121">
            <w:pPr>
              <w:jc w:val="center"/>
              <w:rPr>
                <w:color w:val="000000"/>
                <w:szCs w:val="24"/>
              </w:rPr>
            </w:pPr>
            <w:r w:rsidRPr="00D04271">
              <w:rPr>
                <w:color w:val="000000"/>
                <w:szCs w:val="24"/>
              </w:rPr>
              <w:t>11</w:t>
            </w:r>
          </w:p>
        </w:tc>
        <w:tc>
          <w:tcPr>
            <w:tcW w:w="1641" w:type="dxa"/>
            <w:vAlign w:val="bottom"/>
          </w:tcPr>
          <w:p w:rsidR="00E97251" w:rsidRPr="00D04271" w:rsidRDefault="00E97251" w:rsidP="00B66121">
            <w:pPr>
              <w:jc w:val="center"/>
              <w:rPr>
                <w:color w:val="000000"/>
                <w:szCs w:val="24"/>
              </w:rPr>
            </w:pPr>
            <w:r w:rsidRPr="00D04271">
              <w:rPr>
                <w:color w:val="000000"/>
                <w:szCs w:val="24"/>
              </w:rPr>
              <w:t>12.2</w:t>
            </w:r>
          </w:p>
        </w:tc>
      </w:tr>
      <w:tr w:rsidR="00E97251" w:rsidRPr="00D04271" w:rsidTr="00E97251">
        <w:trPr>
          <w:jc w:val="center"/>
        </w:trPr>
        <w:tc>
          <w:tcPr>
            <w:tcW w:w="4523" w:type="dxa"/>
            <w:vAlign w:val="bottom"/>
          </w:tcPr>
          <w:p w:rsidR="00E97251" w:rsidRPr="00D04271" w:rsidRDefault="00E97251" w:rsidP="00B66121">
            <w:pPr>
              <w:jc w:val="center"/>
              <w:rPr>
                <w:color w:val="000000"/>
                <w:szCs w:val="24"/>
              </w:rPr>
            </w:pPr>
            <w:r w:rsidRPr="00D04271">
              <w:rPr>
                <w:szCs w:val="24"/>
              </w:rPr>
              <w:t>Border undefined or provisional</w:t>
            </w:r>
          </w:p>
        </w:tc>
        <w:tc>
          <w:tcPr>
            <w:tcW w:w="1641" w:type="dxa"/>
            <w:vAlign w:val="bottom"/>
          </w:tcPr>
          <w:p w:rsidR="00E97251" w:rsidRPr="00D04271" w:rsidRDefault="00E97251" w:rsidP="00B66121">
            <w:pPr>
              <w:jc w:val="center"/>
              <w:rPr>
                <w:color w:val="000000"/>
                <w:szCs w:val="24"/>
              </w:rPr>
            </w:pPr>
            <w:r w:rsidRPr="00D04271">
              <w:rPr>
                <w:color w:val="000000"/>
                <w:szCs w:val="24"/>
              </w:rPr>
              <w:t>3.3</w:t>
            </w:r>
          </w:p>
        </w:tc>
        <w:tc>
          <w:tcPr>
            <w:tcW w:w="1641" w:type="dxa"/>
            <w:vAlign w:val="bottom"/>
          </w:tcPr>
          <w:p w:rsidR="00E97251" w:rsidRPr="00D04271" w:rsidRDefault="00E97251" w:rsidP="00B66121">
            <w:pPr>
              <w:jc w:val="center"/>
              <w:rPr>
                <w:color w:val="000000"/>
                <w:szCs w:val="24"/>
              </w:rPr>
            </w:pPr>
            <w:r w:rsidRPr="00D04271">
              <w:rPr>
                <w:color w:val="000000"/>
                <w:szCs w:val="24"/>
              </w:rPr>
              <w:t>10.2</w:t>
            </w:r>
          </w:p>
        </w:tc>
        <w:tc>
          <w:tcPr>
            <w:tcW w:w="1641" w:type="dxa"/>
            <w:vAlign w:val="bottom"/>
          </w:tcPr>
          <w:p w:rsidR="00E97251" w:rsidRPr="00D04271" w:rsidRDefault="00E97251" w:rsidP="00B66121">
            <w:pPr>
              <w:jc w:val="center"/>
              <w:rPr>
                <w:color w:val="000000"/>
                <w:szCs w:val="24"/>
              </w:rPr>
            </w:pPr>
            <w:r w:rsidRPr="00D04271">
              <w:rPr>
                <w:color w:val="000000"/>
                <w:szCs w:val="24"/>
              </w:rPr>
              <w:t>47.1</w:t>
            </w:r>
          </w:p>
        </w:tc>
      </w:tr>
      <w:tr w:rsidR="00E97251" w:rsidRPr="00D04271" w:rsidTr="00E97251">
        <w:trPr>
          <w:jc w:val="center"/>
        </w:trPr>
        <w:tc>
          <w:tcPr>
            <w:tcW w:w="4523" w:type="dxa"/>
            <w:vAlign w:val="bottom"/>
          </w:tcPr>
          <w:p w:rsidR="00E97251" w:rsidRPr="00D04271" w:rsidRDefault="00E97251" w:rsidP="00B66121">
            <w:pPr>
              <w:jc w:val="center"/>
              <w:rPr>
                <w:color w:val="000000"/>
                <w:szCs w:val="24"/>
              </w:rPr>
            </w:pPr>
            <w:r w:rsidRPr="00D04271">
              <w:rPr>
                <w:color w:val="000000"/>
                <w:szCs w:val="24"/>
              </w:rPr>
              <w:t>Claimant lost territory in colonial period</w:t>
            </w:r>
          </w:p>
        </w:tc>
        <w:tc>
          <w:tcPr>
            <w:tcW w:w="1641" w:type="dxa"/>
            <w:vAlign w:val="bottom"/>
          </w:tcPr>
          <w:p w:rsidR="00E97251" w:rsidRPr="00D04271" w:rsidRDefault="00E97251" w:rsidP="00B66121">
            <w:pPr>
              <w:jc w:val="center"/>
              <w:rPr>
                <w:color w:val="000000"/>
                <w:szCs w:val="24"/>
              </w:rPr>
            </w:pPr>
            <w:r w:rsidRPr="00D04271">
              <w:rPr>
                <w:color w:val="000000"/>
                <w:szCs w:val="24"/>
              </w:rPr>
              <w:t>10.5</w:t>
            </w:r>
          </w:p>
        </w:tc>
        <w:tc>
          <w:tcPr>
            <w:tcW w:w="1641" w:type="dxa"/>
            <w:vAlign w:val="bottom"/>
          </w:tcPr>
          <w:p w:rsidR="00E97251" w:rsidRPr="00D04271" w:rsidRDefault="00E97251" w:rsidP="00B66121">
            <w:pPr>
              <w:jc w:val="center"/>
              <w:rPr>
                <w:color w:val="000000"/>
                <w:szCs w:val="24"/>
              </w:rPr>
            </w:pPr>
            <w:r w:rsidRPr="00D04271">
              <w:rPr>
                <w:color w:val="000000"/>
                <w:szCs w:val="24"/>
              </w:rPr>
              <w:t>10.6</w:t>
            </w:r>
          </w:p>
        </w:tc>
        <w:tc>
          <w:tcPr>
            <w:tcW w:w="1641" w:type="dxa"/>
            <w:vAlign w:val="bottom"/>
          </w:tcPr>
          <w:p w:rsidR="00E97251" w:rsidRPr="00D04271" w:rsidRDefault="00E97251" w:rsidP="00B66121">
            <w:pPr>
              <w:jc w:val="center"/>
              <w:rPr>
                <w:color w:val="000000"/>
                <w:szCs w:val="24"/>
              </w:rPr>
            </w:pPr>
            <w:r w:rsidRPr="00D04271">
              <w:rPr>
                <w:color w:val="000000"/>
                <w:szCs w:val="24"/>
              </w:rPr>
              <w:t>18.4</w:t>
            </w:r>
          </w:p>
        </w:tc>
      </w:tr>
      <w:tr w:rsidR="00E97251" w:rsidRPr="00D04271" w:rsidTr="00E97251">
        <w:trPr>
          <w:jc w:val="center"/>
        </w:trPr>
        <w:tc>
          <w:tcPr>
            <w:tcW w:w="4523" w:type="dxa"/>
            <w:vAlign w:val="bottom"/>
          </w:tcPr>
          <w:p w:rsidR="00E97251" w:rsidRPr="00D04271" w:rsidRDefault="00E97251" w:rsidP="00B66121">
            <w:pPr>
              <w:jc w:val="center"/>
              <w:rPr>
                <w:color w:val="000000"/>
                <w:szCs w:val="24"/>
              </w:rPr>
            </w:pPr>
            <w:r w:rsidRPr="00D04271">
              <w:rPr>
                <w:color w:val="000000"/>
                <w:szCs w:val="24"/>
              </w:rPr>
              <w:t>Same colonial parent</w:t>
            </w:r>
          </w:p>
        </w:tc>
        <w:tc>
          <w:tcPr>
            <w:tcW w:w="1641" w:type="dxa"/>
            <w:vAlign w:val="bottom"/>
          </w:tcPr>
          <w:p w:rsidR="00E97251" w:rsidRPr="00D04271" w:rsidRDefault="00E97251" w:rsidP="00B66121">
            <w:pPr>
              <w:jc w:val="center"/>
              <w:rPr>
                <w:color w:val="000000"/>
                <w:szCs w:val="24"/>
              </w:rPr>
            </w:pPr>
            <w:r w:rsidRPr="00D04271">
              <w:rPr>
                <w:color w:val="000000"/>
                <w:szCs w:val="24"/>
              </w:rPr>
              <w:t>44.9</w:t>
            </w:r>
          </w:p>
        </w:tc>
        <w:tc>
          <w:tcPr>
            <w:tcW w:w="1641" w:type="dxa"/>
            <w:vAlign w:val="bottom"/>
          </w:tcPr>
          <w:p w:rsidR="00E97251" w:rsidRPr="00D04271" w:rsidRDefault="00E97251" w:rsidP="00B66121">
            <w:pPr>
              <w:jc w:val="center"/>
              <w:rPr>
                <w:color w:val="000000"/>
                <w:szCs w:val="24"/>
              </w:rPr>
            </w:pPr>
            <w:r w:rsidRPr="00D04271">
              <w:rPr>
                <w:color w:val="000000"/>
                <w:szCs w:val="24"/>
              </w:rPr>
              <w:t>8.5</w:t>
            </w:r>
          </w:p>
        </w:tc>
        <w:tc>
          <w:tcPr>
            <w:tcW w:w="1641" w:type="dxa"/>
            <w:vAlign w:val="bottom"/>
          </w:tcPr>
          <w:p w:rsidR="00E97251" w:rsidRPr="00D04271" w:rsidRDefault="00E97251" w:rsidP="00B66121">
            <w:pPr>
              <w:jc w:val="center"/>
              <w:rPr>
                <w:color w:val="000000"/>
                <w:szCs w:val="24"/>
              </w:rPr>
            </w:pPr>
            <w:r w:rsidRPr="00D04271">
              <w:rPr>
                <w:color w:val="000000"/>
                <w:szCs w:val="24"/>
              </w:rPr>
              <w:t>14.9</w:t>
            </w:r>
          </w:p>
        </w:tc>
      </w:tr>
    </w:tbl>
    <w:p w:rsidR="00E97251" w:rsidRPr="00FD6B4B" w:rsidRDefault="00E97251" w:rsidP="00E97251">
      <w:pPr>
        <w:widowControl w:val="0"/>
        <w:jc w:val="center"/>
      </w:pPr>
    </w:p>
    <w:p w:rsidR="00302052" w:rsidRDefault="00302052" w:rsidP="00BB475B">
      <w:pPr>
        <w:spacing w:line="480" w:lineRule="auto"/>
        <w:rPr>
          <w:b/>
        </w:rPr>
      </w:pPr>
    </w:p>
    <w:p w:rsidR="007232FB" w:rsidRDefault="007232FB">
      <w:pPr>
        <w:spacing w:after="200" w:line="276" w:lineRule="auto"/>
        <w:rPr>
          <w:b/>
        </w:rPr>
      </w:pPr>
      <w:r>
        <w:rPr>
          <w:b/>
        </w:rPr>
        <w:br w:type="page"/>
      </w:r>
    </w:p>
    <w:p w:rsidR="00BB475B" w:rsidRPr="00BB475B" w:rsidRDefault="00497BE2" w:rsidP="00BB475B">
      <w:pPr>
        <w:spacing w:line="480" w:lineRule="auto"/>
        <w:rPr>
          <w:b/>
        </w:rPr>
      </w:pPr>
      <w:r>
        <w:rPr>
          <w:b/>
        </w:rPr>
        <w:lastRenderedPageBreak/>
        <w:t xml:space="preserve">Additional </w:t>
      </w:r>
      <w:r w:rsidR="00BB475B" w:rsidRPr="00BB475B">
        <w:rPr>
          <w:b/>
        </w:rPr>
        <w:t>Works Cited</w:t>
      </w:r>
    </w:p>
    <w:p w:rsidR="00BB475B" w:rsidRPr="00BB475B" w:rsidRDefault="00BB475B" w:rsidP="00BB475B">
      <w:pPr>
        <w:pStyle w:val="NormalWeb"/>
        <w:spacing w:before="0" w:beforeAutospacing="0" w:after="0" w:afterAutospacing="0" w:line="480" w:lineRule="auto"/>
        <w:ind w:left="450" w:hanging="450"/>
      </w:pPr>
      <w:r w:rsidRPr="00BB475B">
        <w:t xml:space="preserve">Brownlie, Ian. 1979. </w:t>
      </w:r>
      <w:r w:rsidR="003A06C0">
        <w:rPr>
          <w:i/>
          <w:iCs/>
        </w:rPr>
        <w:t>African Boundaries</w:t>
      </w:r>
      <w:r w:rsidRPr="00BB475B">
        <w:rPr>
          <w:i/>
          <w:iCs/>
        </w:rPr>
        <w:t>: A Legal and Diplomatic Encyclopaedia</w:t>
      </w:r>
      <w:r w:rsidRPr="00BB475B">
        <w:t xml:space="preserve">. London: C. Hurst &amp; Company. </w:t>
      </w:r>
    </w:p>
    <w:p w:rsidR="00BB475B" w:rsidRPr="00BB475B" w:rsidRDefault="00BB475B" w:rsidP="00BB475B">
      <w:pPr>
        <w:pStyle w:val="NormalWeb"/>
        <w:spacing w:before="0" w:beforeAutospacing="0" w:after="0" w:afterAutospacing="0" w:line="480" w:lineRule="auto"/>
        <w:ind w:left="450" w:hanging="450"/>
      </w:pPr>
      <w:r w:rsidRPr="00BB475B">
        <w:t xml:space="preserve">Bruk, Solomon Ilich, and V. S. Apenchenko, eds. 1964. </w:t>
      </w:r>
      <w:r w:rsidRPr="00BB475B">
        <w:rPr>
          <w:i/>
          <w:iCs/>
        </w:rPr>
        <w:t>Atlas Narodov Mira</w:t>
      </w:r>
      <w:r w:rsidRPr="00BB475B">
        <w:t xml:space="preserve">. Moscow: Glavnoe upravlenie geodezii i kartografii. </w:t>
      </w:r>
    </w:p>
    <w:p w:rsidR="00BB475B" w:rsidRPr="00BB475B" w:rsidRDefault="00BB475B" w:rsidP="00BB475B">
      <w:pPr>
        <w:pStyle w:val="NormalWeb"/>
        <w:spacing w:before="0" w:beforeAutospacing="0" w:after="0" w:afterAutospacing="0" w:line="480" w:lineRule="auto"/>
        <w:ind w:left="450" w:hanging="450"/>
      </w:pPr>
      <w:r w:rsidRPr="00BB475B">
        <w:t xml:space="preserve">Fearon, James D., and David D. Laitin. 2003. </w:t>
      </w:r>
      <w:r w:rsidR="008031E1">
        <w:t>“</w:t>
      </w:r>
      <w:r w:rsidRPr="00BB475B">
        <w:t>Ethnicity, Insurgency, and Civil War.</w:t>
      </w:r>
      <w:r w:rsidR="008031E1">
        <w:t>”</w:t>
      </w:r>
      <w:r w:rsidRPr="00BB475B">
        <w:t xml:space="preserve"> </w:t>
      </w:r>
      <w:r w:rsidRPr="00BB475B">
        <w:rPr>
          <w:i/>
          <w:iCs/>
        </w:rPr>
        <w:t>American Political Science Review</w:t>
      </w:r>
      <w:r w:rsidRPr="00BB475B">
        <w:t xml:space="preserve"> 97 (1): 75. </w:t>
      </w:r>
    </w:p>
    <w:p w:rsidR="00BB475B" w:rsidRDefault="00BB475B" w:rsidP="00BB475B">
      <w:pPr>
        <w:pStyle w:val="NormalWeb"/>
        <w:spacing w:before="0" w:beforeAutospacing="0" w:after="0" w:afterAutospacing="0" w:line="480" w:lineRule="auto"/>
        <w:ind w:left="450" w:hanging="450"/>
      </w:pPr>
      <w:r w:rsidRPr="00BB475B">
        <w:t xml:space="preserve">Fearon, James D., Kimuli Kasara, and David D. Laitin. 2007. </w:t>
      </w:r>
      <w:r w:rsidR="008031E1">
        <w:t>“</w:t>
      </w:r>
      <w:r w:rsidRPr="00BB475B">
        <w:t>Ethnic Minority Rule and Civil War Onset.</w:t>
      </w:r>
      <w:r w:rsidR="008031E1">
        <w:t>”</w:t>
      </w:r>
      <w:r w:rsidRPr="00BB475B">
        <w:t xml:space="preserve"> </w:t>
      </w:r>
      <w:r w:rsidRPr="00BB475B">
        <w:rPr>
          <w:i/>
          <w:iCs/>
        </w:rPr>
        <w:t>American Political Science Review</w:t>
      </w:r>
      <w:r w:rsidR="00EB49B1">
        <w:t xml:space="preserve"> 101 (01): 187-93.</w:t>
      </w:r>
    </w:p>
    <w:p w:rsidR="00EB49B1" w:rsidRPr="00BB475B" w:rsidRDefault="00EB49B1" w:rsidP="00BB475B">
      <w:pPr>
        <w:pStyle w:val="NormalWeb"/>
        <w:spacing w:before="0" w:beforeAutospacing="0" w:after="0" w:afterAutospacing="0" w:line="480" w:lineRule="auto"/>
        <w:ind w:left="450" w:hanging="450"/>
      </w:pPr>
      <w:r>
        <w:rPr>
          <w:rStyle w:val="readonly"/>
        </w:rPr>
        <w:t xml:space="preserve">Lehner, B., K. Verdin, K., and A. Jarvis. 2006. </w:t>
      </w:r>
      <w:r w:rsidRPr="00EB49B1">
        <w:rPr>
          <w:rStyle w:val="readonly"/>
          <w:i/>
        </w:rPr>
        <w:t>HydroSHEDS Technical Documentation</w:t>
      </w:r>
      <w:r>
        <w:rPr>
          <w:rStyle w:val="readonly"/>
        </w:rPr>
        <w:t>. Washington, DC: World Wildlife Fund US. Available at http://hydrosheds.cr.usgs.gov.</w:t>
      </w:r>
    </w:p>
    <w:p w:rsidR="00BB475B" w:rsidRPr="00BB475B" w:rsidRDefault="00BB475B" w:rsidP="00BB475B">
      <w:pPr>
        <w:pStyle w:val="NormalWeb"/>
        <w:spacing w:before="0" w:beforeAutospacing="0" w:after="0" w:afterAutospacing="0" w:line="480" w:lineRule="auto"/>
        <w:ind w:left="450" w:hanging="450"/>
      </w:pPr>
      <w:r w:rsidRPr="00BB475B">
        <w:t xml:space="preserve">Lujala, Paivi, Jan Ketil Rod, and Nadja Thieme. 2007. </w:t>
      </w:r>
      <w:r w:rsidR="008031E1">
        <w:t>“</w:t>
      </w:r>
      <w:r w:rsidRPr="00BB475B">
        <w:t>Fighting Over Oil: Introducing a New Dataset.</w:t>
      </w:r>
      <w:r w:rsidR="008031E1">
        <w:t>”</w:t>
      </w:r>
      <w:r w:rsidRPr="00BB475B">
        <w:t xml:space="preserve"> </w:t>
      </w:r>
      <w:r w:rsidRPr="00BB475B">
        <w:rPr>
          <w:i/>
          <w:iCs/>
        </w:rPr>
        <w:t>Conflict Management and Peace Science</w:t>
      </w:r>
      <w:r w:rsidRPr="00BB475B">
        <w:t xml:space="preserve"> 24 (3): 239-56. </w:t>
      </w:r>
    </w:p>
    <w:p w:rsidR="00BB475B" w:rsidRPr="00BB475B" w:rsidRDefault="00BB475B" w:rsidP="00BB475B">
      <w:pPr>
        <w:pStyle w:val="NormalWeb"/>
        <w:spacing w:before="0" w:beforeAutospacing="0" w:after="0" w:afterAutospacing="0" w:line="480" w:lineRule="auto"/>
        <w:ind w:left="450" w:hanging="450"/>
      </w:pPr>
      <w:r w:rsidRPr="00BB475B">
        <w:t xml:space="preserve">Singer, J. David, Suart Bremer, and John Stuckey. 1972. </w:t>
      </w:r>
      <w:r w:rsidR="008031E1">
        <w:t>“</w:t>
      </w:r>
      <w:r w:rsidRPr="00BB475B">
        <w:t>Capability Distribution, Uncertainty, and Major Power War, 1820-1965.</w:t>
      </w:r>
      <w:r w:rsidR="008031E1">
        <w:t>”</w:t>
      </w:r>
      <w:r w:rsidRPr="00BB475B">
        <w:t xml:space="preserve"> In </w:t>
      </w:r>
      <w:r w:rsidRPr="00BB475B">
        <w:rPr>
          <w:i/>
          <w:iCs/>
        </w:rPr>
        <w:t>Peace, War, and Numbers</w:t>
      </w:r>
      <w:r w:rsidRPr="00BB475B">
        <w:t xml:space="preserve">, ed. Bruce Russett, pp. 19-48. Beverly Hills, CA: Sage. </w:t>
      </w:r>
    </w:p>
    <w:p w:rsidR="00BB475B" w:rsidRDefault="00BB475B" w:rsidP="00941E10">
      <w:pPr>
        <w:spacing w:line="480" w:lineRule="auto"/>
      </w:pPr>
    </w:p>
    <w:p w:rsidR="00BB475B" w:rsidRPr="00CB50CB" w:rsidRDefault="00BB475B" w:rsidP="00941E10">
      <w:pPr>
        <w:spacing w:line="480" w:lineRule="auto"/>
      </w:pPr>
    </w:p>
    <w:sectPr w:rsidR="00BB475B" w:rsidRPr="00CB50CB" w:rsidSect="004655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169C" w:rsidRDefault="0099169C" w:rsidP="00CF768C">
      <w:r>
        <w:separator/>
      </w:r>
    </w:p>
  </w:endnote>
  <w:endnote w:type="continuationSeparator" w:id="0">
    <w:p w:rsidR="0099169C" w:rsidRDefault="0099169C" w:rsidP="00CF7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05" w:rsidRDefault="002F56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155413"/>
      <w:docPartObj>
        <w:docPartGallery w:val="Page Numbers (Bottom of Page)"/>
        <w:docPartUnique/>
      </w:docPartObj>
    </w:sdtPr>
    <w:sdtEndPr>
      <w:rPr>
        <w:noProof/>
      </w:rPr>
    </w:sdtEndPr>
    <w:sdtContent>
      <w:p w:rsidR="002F5605" w:rsidRDefault="002F5605">
        <w:pPr>
          <w:pStyle w:val="Footer"/>
          <w:jc w:val="center"/>
        </w:pPr>
        <w:r>
          <w:fldChar w:fldCharType="begin"/>
        </w:r>
        <w:r>
          <w:instrText xml:space="preserve"> PAGE   \* MERGEFORMAT </w:instrText>
        </w:r>
        <w:r>
          <w:fldChar w:fldCharType="separate"/>
        </w:r>
        <w:r w:rsidR="007C1636">
          <w:rPr>
            <w:noProof/>
          </w:rPr>
          <w:t>14</w:t>
        </w:r>
        <w:r>
          <w:rPr>
            <w:noProof/>
          </w:rPr>
          <w:fldChar w:fldCharType="end"/>
        </w:r>
      </w:p>
    </w:sdtContent>
  </w:sdt>
  <w:p w:rsidR="00052B76" w:rsidRDefault="00052B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05" w:rsidRDefault="002F56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169C" w:rsidRDefault="0099169C" w:rsidP="00CF768C">
      <w:r>
        <w:separator/>
      </w:r>
    </w:p>
  </w:footnote>
  <w:footnote w:type="continuationSeparator" w:id="0">
    <w:p w:rsidR="0099169C" w:rsidRDefault="0099169C" w:rsidP="00CF768C">
      <w:r>
        <w:continuationSeparator/>
      </w:r>
    </w:p>
  </w:footnote>
  <w:footnote w:id="1">
    <w:p w:rsidR="00CF768C" w:rsidRPr="009F014E" w:rsidRDefault="00CF768C" w:rsidP="00BB475B">
      <w:pPr>
        <w:pStyle w:val="FootnoteText"/>
        <w:spacing w:line="480" w:lineRule="auto"/>
        <w:rPr>
          <w:sz w:val="24"/>
          <w:szCs w:val="24"/>
        </w:rPr>
      </w:pPr>
      <w:r w:rsidRPr="009F014E">
        <w:rPr>
          <w:rStyle w:val="FootnoteReference"/>
          <w:sz w:val="24"/>
          <w:szCs w:val="24"/>
        </w:rPr>
        <w:footnoteRef/>
      </w:r>
      <w:r w:rsidRPr="009F014E">
        <w:rPr>
          <w:sz w:val="24"/>
          <w:szCs w:val="24"/>
        </w:rPr>
        <w:t xml:space="preserve"> </w:t>
      </w:r>
      <w:r w:rsidR="009673A0" w:rsidRPr="009F014E">
        <w:rPr>
          <w:sz w:val="24"/>
          <w:szCs w:val="24"/>
        </w:rPr>
        <w:t>All maps from Natural Earth</w:t>
      </w:r>
      <w:r w:rsidRPr="009F014E">
        <w:rPr>
          <w:sz w:val="24"/>
          <w:szCs w:val="24"/>
        </w:rPr>
        <w:t xml:space="preserve"> are in the public domain </w:t>
      </w:r>
      <w:r w:rsidR="009673A0" w:rsidRPr="009F014E">
        <w:rPr>
          <w:sz w:val="24"/>
          <w:szCs w:val="24"/>
        </w:rPr>
        <w:t xml:space="preserve">and available </w:t>
      </w:r>
      <w:r w:rsidRPr="009F014E">
        <w:rPr>
          <w:sz w:val="24"/>
          <w:szCs w:val="24"/>
        </w:rPr>
        <w:t xml:space="preserve">at </w:t>
      </w:r>
      <w:hyperlink r:id="rId1" w:history="1">
        <w:r w:rsidR="00CD216D" w:rsidRPr="009F014E">
          <w:rPr>
            <w:rStyle w:val="Hyperlink"/>
            <w:sz w:val="24"/>
            <w:szCs w:val="24"/>
          </w:rPr>
          <w:t>www.naturalearthdata.com</w:t>
        </w:r>
      </w:hyperlink>
      <w:r w:rsidR="009673A0" w:rsidRPr="009F014E">
        <w:rPr>
          <w:sz w:val="24"/>
          <w:szCs w:val="24"/>
        </w:rPr>
        <w:t xml:space="preserve">. </w:t>
      </w:r>
      <w:r w:rsidR="006C6697" w:rsidRPr="009F014E">
        <w:rPr>
          <w:sz w:val="24"/>
          <w:szCs w:val="24"/>
        </w:rPr>
        <w:t xml:space="preserve"> The Kenya-Sudan border was changed to follow the straight east-west line established as the provisional boundary in 1914 (see Brownlie 1979, pp. 917-21).</w:t>
      </w:r>
      <w:r w:rsidR="006C35E2" w:rsidRPr="009F014E">
        <w:rPr>
          <w:sz w:val="24"/>
          <w:szCs w:val="24"/>
        </w:rPr>
        <w:t xml:space="preserve">  Border lines were split into 1km segments using a tool in ET GeoTools (</w:t>
      </w:r>
      <w:hyperlink r:id="rId2" w:history="1">
        <w:r w:rsidR="006C35E2" w:rsidRPr="009F014E">
          <w:rPr>
            <w:rStyle w:val="Hyperlink"/>
            <w:sz w:val="24"/>
            <w:szCs w:val="24"/>
          </w:rPr>
          <w:t>http://www.ian-ko.com/</w:t>
        </w:r>
      </w:hyperlink>
      <w:r w:rsidR="007C1636">
        <w:rPr>
          <w:sz w:val="24"/>
          <w:szCs w:val="24"/>
        </w:rPr>
        <w:t>), an</w:t>
      </w:r>
      <w:bookmarkStart w:id="0" w:name="_GoBack"/>
      <w:bookmarkEnd w:id="0"/>
      <w:r w:rsidR="006C35E2" w:rsidRPr="009F014E">
        <w:rPr>
          <w:sz w:val="24"/>
          <w:szCs w:val="24"/>
        </w:rPr>
        <w:t xml:space="preserve"> add-on to ArcMap.</w:t>
      </w:r>
    </w:p>
  </w:footnote>
  <w:footnote w:id="2">
    <w:p w:rsidR="00F12428" w:rsidRPr="009F014E" w:rsidRDefault="00F12428" w:rsidP="00F12428">
      <w:pPr>
        <w:pStyle w:val="FootnoteText"/>
        <w:rPr>
          <w:sz w:val="24"/>
          <w:szCs w:val="24"/>
        </w:rPr>
      </w:pPr>
      <w:r w:rsidRPr="009F014E">
        <w:rPr>
          <w:rStyle w:val="FootnoteReference"/>
          <w:sz w:val="24"/>
          <w:szCs w:val="24"/>
        </w:rPr>
        <w:footnoteRef/>
      </w:r>
      <w:r w:rsidRPr="009F014E">
        <w:rPr>
          <w:sz w:val="24"/>
          <w:szCs w:val="24"/>
        </w:rPr>
        <w:t xml:space="preserve"> The 2014 versions of these data sets were access</w:t>
      </w:r>
      <w:r w:rsidR="00E87C51" w:rsidRPr="009F014E">
        <w:rPr>
          <w:sz w:val="24"/>
          <w:szCs w:val="24"/>
        </w:rPr>
        <w:t>ed</w:t>
      </w:r>
      <w:r w:rsidRPr="009F014E">
        <w:rPr>
          <w:sz w:val="24"/>
          <w:szCs w:val="24"/>
        </w:rPr>
        <w:t xml:space="preserve"> using Luc Girardin, Philipp Hunziker, Lars-Erik Cederman, Nils-Christian Bormann, and Manuel Vogt. 2015. </w:t>
      </w:r>
      <w:r w:rsidRPr="009F014E">
        <w:rPr>
          <w:i/>
          <w:iCs/>
          <w:sz w:val="24"/>
          <w:szCs w:val="24"/>
        </w:rPr>
        <w:t>GROW</w:t>
      </w:r>
      <w:r w:rsidRPr="009F014E">
        <w:rPr>
          <w:i/>
          <w:iCs/>
          <w:sz w:val="24"/>
          <w:szCs w:val="24"/>
          <w:vertAlign w:val="superscript"/>
        </w:rPr>
        <w:t>up</w:t>
      </w:r>
      <w:r w:rsidRPr="009F014E">
        <w:rPr>
          <w:sz w:val="24"/>
          <w:szCs w:val="24"/>
        </w:rPr>
        <w:t xml:space="preserve"> - Geographical Research On War, Unified Platform. ETH Zurich. </w:t>
      </w:r>
      <w:hyperlink r:id="rId3" w:history="1">
        <w:r w:rsidRPr="009F014E">
          <w:rPr>
            <w:rStyle w:val="Hyperlink"/>
            <w:sz w:val="24"/>
            <w:szCs w:val="24"/>
          </w:rPr>
          <w:t>http://growup.ethz.ch/</w:t>
        </w:r>
      </w:hyperlink>
      <w:r w:rsidRPr="009F014E">
        <w:rPr>
          <w:sz w:val="24"/>
          <w:szCs w:val="24"/>
        </w:rPr>
        <w:t>.</w:t>
      </w:r>
    </w:p>
  </w:footnote>
  <w:footnote w:id="3">
    <w:p w:rsidR="004C483E" w:rsidRPr="009F014E" w:rsidRDefault="004C483E">
      <w:pPr>
        <w:pStyle w:val="FootnoteText"/>
        <w:rPr>
          <w:sz w:val="24"/>
          <w:szCs w:val="24"/>
        </w:rPr>
      </w:pPr>
      <w:r w:rsidRPr="009F014E">
        <w:rPr>
          <w:rStyle w:val="FootnoteReference"/>
          <w:sz w:val="24"/>
          <w:szCs w:val="24"/>
        </w:rPr>
        <w:footnoteRef/>
      </w:r>
      <w:r w:rsidRPr="009F014E">
        <w:rPr>
          <w:sz w:val="24"/>
          <w:szCs w:val="24"/>
        </w:rPr>
        <w:t xml:space="preserve"> Note that the GREG map identifies some mixed regions, containing two ethnic groups, so a small number of border segments partition two groups.</w:t>
      </w:r>
    </w:p>
  </w:footnote>
  <w:footnote w:id="4">
    <w:p w:rsidR="00820F42" w:rsidRPr="009F014E" w:rsidRDefault="00820F42" w:rsidP="00BB475B">
      <w:pPr>
        <w:pStyle w:val="FootnoteText"/>
        <w:spacing w:line="480" w:lineRule="auto"/>
        <w:rPr>
          <w:sz w:val="24"/>
          <w:szCs w:val="24"/>
        </w:rPr>
      </w:pPr>
      <w:r w:rsidRPr="009F014E">
        <w:rPr>
          <w:rStyle w:val="FootnoteReference"/>
          <w:sz w:val="24"/>
          <w:szCs w:val="24"/>
        </w:rPr>
        <w:footnoteRef/>
      </w:r>
      <w:r w:rsidRPr="009F014E">
        <w:rPr>
          <w:sz w:val="24"/>
          <w:szCs w:val="24"/>
        </w:rPr>
        <w:t xml:space="preserve"> These data are available at </w:t>
      </w:r>
      <w:hyperlink r:id="rId4" w:history="1">
        <w:r w:rsidRPr="009F014E">
          <w:rPr>
            <w:rStyle w:val="Hyperlink"/>
            <w:sz w:val="24"/>
            <w:szCs w:val="24"/>
          </w:rPr>
          <w:t>http://na.unep.net/siouxfalls/datasets/datalist.php</w:t>
        </w:r>
      </w:hyperlink>
      <w:r w:rsidRPr="009F014E">
        <w:rPr>
          <w:sz w:val="24"/>
          <w:szCs w:val="24"/>
        </w:rPr>
        <w:t xml:space="preserve">. </w:t>
      </w:r>
    </w:p>
  </w:footnote>
  <w:footnote w:id="5">
    <w:p w:rsidR="00D91E65" w:rsidRPr="009F014E" w:rsidRDefault="00D91E65" w:rsidP="00BB475B">
      <w:pPr>
        <w:pStyle w:val="FootnoteText"/>
        <w:spacing w:line="480" w:lineRule="auto"/>
        <w:rPr>
          <w:sz w:val="24"/>
          <w:szCs w:val="24"/>
        </w:rPr>
      </w:pPr>
      <w:r w:rsidRPr="009F014E">
        <w:rPr>
          <w:rStyle w:val="FootnoteReference"/>
          <w:sz w:val="24"/>
          <w:szCs w:val="24"/>
        </w:rPr>
        <w:footnoteRef/>
      </w:r>
      <w:r w:rsidRPr="009F014E">
        <w:rPr>
          <w:sz w:val="24"/>
          <w:szCs w:val="24"/>
        </w:rPr>
        <w:t xml:space="preserve"> Available at </w:t>
      </w:r>
      <w:hyperlink r:id="rId5" w:history="1">
        <w:r w:rsidRPr="009F014E">
          <w:rPr>
            <w:rStyle w:val="Hyperlink"/>
            <w:sz w:val="24"/>
            <w:szCs w:val="24"/>
          </w:rPr>
          <w:t>http://correlatesofwar.org</w:t>
        </w:r>
      </w:hyperlink>
      <w:r w:rsidRPr="009F014E">
        <w:rPr>
          <w:sz w:val="24"/>
          <w:szCs w:val="24"/>
        </w:rPr>
        <w:t xml:space="preserve"> </w:t>
      </w:r>
    </w:p>
  </w:footnote>
  <w:footnote w:id="6">
    <w:p w:rsidR="006C35E2" w:rsidRPr="009F014E" w:rsidRDefault="006C35E2">
      <w:pPr>
        <w:pStyle w:val="FootnoteText"/>
        <w:rPr>
          <w:sz w:val="24"/>
          <w:szCs w:val="24"/>
        </w:rPr>
      </w:pPr>
      <w:r w:rsidRPr="009F014E">
        <w:rPr>
          <w:rStyle w:val="FootnoteReference"/>
          <w:sz w:val="24"/>
          <w:szCs w:val="24"/>
        </w:rPr>
        <w:footnoteRef/>
      </w:r>
      <w:r w:rsidRPr="009F014E">
        <w:rPr>
          <w:sz w:val="24"/>
          <w:szCs w:val="24"/>
        </w:rPr>
        <w:t xml:space="preserve"> This and all other distance measures were obtained by creating a “near table” in ArcMap, which reports the distance of the c</w:t>
      </w:r>
      <w:r w:rsidR="009F014E">
        <w:rPr>
          <w:sz w:val="24"/>
          <w:szCs w:val="24"/>
        </w:rPr>
        <w:t xml:space="preserve">losest feature(s) </w:t>
      </w:r>
      <w:r w:rsidRPr="009F014E">
        <w:rPr>
          <w:sz w:val="24"/>
          <w:szCs w:val="24"/>
        </w:rPr>
        <w:t>in one layer (in this case, oil deposits) to each of the features in the target layer (the 1km segments).</w:t>
      </w:r>
    </w:p>
  </w:footnote>
  <w:footnote w:id="7">
    <w:p w:rsidR="00DB1F12" w:rsidRPr="009F014E" w:rsidRDefault="00DB1F12" w:rsidP="00BB475B">
      <w:pPr>
        <w:pStyle w:val="FootnoteText"/>
        <w:spacing w:line="480" w:lineRule="auto"/>
        <w:rPr>
          <w:sz w:val="24"/>
          <w:szCs w:val="24"/>
        </w:rPr>
      </w:pPr>
      <w:r w:rsidRPr="009F014E">
        <w:rPr>
          <w:rStyle w:val="FootnoteReference"/>
          <w:sz w:val="24"/>
          <w:szCs w:val="24"/>
        </w:rPr>
        <w:footnoteRef/>
      </w:r>
      <w:r w:rsidR="00F62459" w:rsidRPr="009F014E">
        <w:rPr>
          <w:sz w:val="24"/>
          <w:szCs w:val="24"/>
        </w:rPr>
        <w:t xml:space="preserve"> Available</w:t>
      </w:r>
      <w:r w:rsidRPr="009F014E">
        <w:rPr>
          <w:sz w:val="24"/>
          <w:szCs w:val="24"/>
        </w:rPr>
        <w:t xml:space="preserve"> at http://tin.er.usgs.gov/mrds/.</w:t>
      </w:r>
    </w:p>
  </w:footnote>
  <w:footnote w:id="8">
    <w:p w:rsidR="002A0843" w:rsidRPr="009F014E" w:rsidRDefault="002A0843" w:rsidP="00BB475B">
      <w:pPr>
        <w:pStyle w:val="FootnoteText"/>
        <w:spacing w:line="480" w:lineRule="auto"/>
        <w:rPr>
          <w:sz w:val="24"/>
          <w:szCs w:val="24"/>
        </w:rPr>
      </w:pPr>
      <w:r w:rsidRPr="009F014E">
        <w:rPr>
          <w:rStyle w:val="FootnoteReference"/>
          <w:sz w:val="24"/>
          <w:szCs w:val="24"/>
        </w:rPr>
        <w:footnoteRef/>
      </w:r>
      <w:r w:rsidRPr="009F014E">
        <w:rPr>
          <w:sz w:val="24"/>
          <w:szCs w:val="24"/>
        </w:rPr>
        <w:t xml:space="preserve"> Available at </w:t>
      </w:r>
      <w:hyperlink r:id="rId6" w:history="1">
        <w:r w:rsidRPr="009F014E">
          <w:rPr>
            <w:rStyle w:val="Hyperlink"/>
            <w:sz w:val="24"/>
            <w:szCs w:val="24"/>
          </w:rPr>
          <w:t>https://www.dur.ac.uk/ibru/resources/irbd/</w:t>
        </w:r>
      </w:hyperlink>
      <w:r w:rsidRPr="009F014E">
        <w:rPr>
          <w:sz w:val="24"/>
          <w:szCs w:val="24"/>
        </w:rPr>
        <w:t xml:space="preserve">. </w:t>
      </w:r>
    </w:p>
  </w:footnote>
  <w:footnote w:id="9">
    <w:p w:rsidR="00E97251" w:rsidRPr="009F014E" w:rsidRDefault="00E97251" w:rsidP="00E97251">
      <w:pPr>
        <w:pStyle w:val="FootnoteText"/>
        <w:spacing w:line="480" w:lineRule="auto"/>
        <w:rPr>
          <w:sz w:val="24"/>
          <w:szCs w:val="24"/>
        </w:rPr>
      </w:pPr>
      <w:r w:rsidRPr="009F014E">
        <w:rPr>
          <w:rStyle w:val="FootnoteReference"/>
          <w:sz w:val="24"/>
          <w:szCs w:val="24"/>
        </w:rPr>
        <w:footnoteRef/>
      </w:r>
      <w:r w:rsidRPr="009F014E">
        <w:rPr>
          <w:sz w:val="24"/>
          <w:szCs w:val="24"/>
        </w:rPr>
        <w:t xml:space="preserve"> Since the number of 1km segments is large (over 76,000), even small differences are statistically significant. But since these comparisons do not take into account the interdependence among segments within dyads, this table is mainly useful for assessing the magnitude and direction of the reported effects.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05" w:rsidRDefault="002F56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05" w:rsidRDefault="002F56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5605" w:rsidRDefault="002F56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E10"/>
    <w:rsid w:val="00000443"/>
    <w:rsid w:val="00000FA9"/>
    <w:rsid w:val="00001386"/>
    <w:rsid w:val="00001FCF"/>
    <w:rsid w:val="00002308"/>
    <w:rsid w:val="000025D9"/>
    <w:rsid w:val="000025F9"/>
    <w:rsid w:val="000027E1"/>
    <w:rsid w:val="0000303A"/>
    <w:rsid w:val="00003166"/>
    <w:rsid w:val="0000345F"/>
    <w:rsid w:val="000037EE"/>
    <w:rsid w:val="00003F09"/>
    <w:rsid w:val="00004549"/>
    <w:rsid w:val="00004F49"/>
    <w:rsid w:val="000053EB"/>
    <w:rsid w:val="00006D60"/>
    <w:rsid w:val="00006D87"/>
    <w:rsid w:val="000071D0"/>
    <w:rsid w:val="000074FB"/>
    <w:rsid w:val="00007F8E"/>
    <w:rsid w:val="00010259"/>
    <w:rsid w:val="000108F5"/>
    <w:rsid w:val="00010EF7"/>
    <w:rsid w:val="00011A2C"/>
    <w:rsid w:val="00012581"/>
    <w:rsid w:val="000128C1"/>
    <w:rsid w:val="00012DC9"/>
    <w:rsid w:val="00012EFC"/>
    <w:rsid w:val="00013212"/>
    <w:rsid w:val="00013C13"/>
    <w:rsid w:val="00013E75"/>
    <w:rsid w:val="00013FFF"/>
    <w:rsid w:val="000143CA"/>
    <w:rsid w:val="000146DB"/>
    <w:rsid w:val="00015F92"/>
    <w:rsid w:val="0001749C"/>
    <w:rsid w:val="000203B2"/>
    <w:rsid w:val="0002091D"/>
    <w:rsid w:val="000217FC"/>
    <w:rsid w:val="000223C7"/>
    <w:rsid w:val="0002278C"/>
    <w:rsid w:val="00022DD5"/>
    <w:rsid w:val="00022F6D"/>
    <w:rsid w:val="000247F5"/>
    <w:rsid w:val="00024E60"/>
    <w:rsid w:val="00024F11"/>
    <w:rsid w:val="0002526C"/>
    <w:rsid w:val="00025D23"/>
    <w:rsid w:val="00025E9E"/>
    <w:rsid w:val="0002747E"/>
    <w:rsid w:val="000276F5"/>
    <w:rsid w:val="00027748"/>
    <w:rsid w:val="00027B00"/>
    <w:rsid w:val="00027D31"/>
    <w:rsid w:val="000305A2"/>
    <w:rsid w:val="000314A7"/>
    <w:rsid w:val="000315E3"/>
    <w:rsid w:val="00031ABF"/>
    <w:rsid w:val="00031DB1"/>
    <w:rsid w:val="00031E87"/>
    <w:rsid w:val="00032313"/>
    <w:rsid w:val="000328D6"/>
    <w:rsid w:val="000332DC"/>
    <w:rsid w:val="0003372A"/>
    <w:rsid w:val="0003413D"/>
    <w:rsid w:val="0003449C"/>
    <w:rsid w:val="000371DE"/>
    <w:rsid w:val="00037437"/>
    <w:rsid w:val="000405AB"/>
    <w:rsid w:val="00040B97"/>
    <w:rsid w:val="0004128D"/>
    <w:rsid w:val="00041B91"/>
    <w:rsid w:val="0004207C"/>
    <w:rsid w:val="00042E36"/>
    <w:rsid w:val="00043019"/>
    <w:rsid w:val="000439F6"/>
    <w:rsid w:val="00043E31"/>
    <w:rsid w:val="000441C3"/>
    <w:rsid w:val="000457FB"/>
    <w:rsid w:val="000462E8"/>
    <w:rsid w:val="0004699D"/>
    <w:rsid w:val="0004749B"/>
    <w:rsid w:val="00047817"/>
    <w:rsid w:val="000504A4"/>
    <w:rsid w:val="000517D0"/>
    <w:rsid w:val="000517D8"/>
    <w:rsid w:val="000524E6"/>
    <w:rsid w:val="000527CF"/>
    <w:rsid w:val="00052B76"/>
    <w:rsid w:val="00052CBB"/>
    <w:rsid w:val="00053C0F"/>
    <w:rsid w:val="00053F59"/>
    <w:rsid w:val="00054329"/>
    <w:rsid w:val="00054D05"/>
    <w:rsid w:val="00055651"/>
    <w:rsid w:val="00057188"/>
    <w:rsid w:val="00057670"/>
    <w:rsid w:val="00057F32"/>
    <w:rsid w:val="00060AF8"/>
    <w:rsid w:val="000622BA"/>
    <w:rsid w:val="000624AD"/>
    <w:rsid w:val="0006375C"/>
    <w:rsid w:val="00063D76"/>
    <w:rsid w:val="00064147"/>
    <w:rsid w:val="0006471D"/>
    <w:rsid w:val="000647F4"/>
    <w:rsid w:val="00064A00"/>
    <w:rsid w:val="00066D47"/>
    <w:rsid w:val="00066FEA"/>
    <w:rsid w:val="00067386"/>
    <w:rsid w:val="000700CC"/>
    <w:rsid w:val="00070545"/>
    <w:rsid w:val="000707B4"/>
    <w:rsid w:val="00070F4A"/>
    <w:rsid w:val="00071C67"/>
    <w:rsid w:val="00071D4A"/>
    <w:rsid w:val="00072524"/>
    <w:rsid w:val="00072E84"/>
    <w:rsid w:val="0007353E"/>
    <w:rsid w:val="00073CB6"/>
    <w:rsid w:val="00073F36"/>
    <w:rsid w:val="00073FEC"/>
    <w:rsid w:val="00075308"/>
    <w:rsid w:val="0007691C"/>
    <w:rsid w:val="00080119"/>
    <w:rsid w:val="00080713"/>
    <w:rsid w:val="000807E8"/>
    <w:rsid w:val="00081306"/>
    <w:rsid w:val="000818CD"/>
    <w:rsid w:val="0008262C"/>
    <w:rsid w:val="000828F3"/>
    <w:rsid w:val="00083049"/>
    <w:rsid w:val="00083E63"/>
    <w:rsid w:val="00083F0C"/>
    <w:rsid w:val="000841E2"/>
    <w:rsid w:val="00084538"/>
    <w:rsid w:val="0008469F"/>
    <w:rsid w:val="00084C02"/>
    <w:rsid w:val="00085AB9"/>
    <w:rsid w:val="00085BA6"/>
    <w:rsid w:val="000865AB"/>
    <w:rsid w:val="0008788A"/>
    <w:rsid w:val="0008793E"/>
    <w:rsid w:val="00090A19"/>
    <w:rsid w:val="00090DF1"/>
    <w:rsid w:val="00091738"/>
    <w:rsid w:val="00091798"/>
    <w:rsid w:val="00091DD5"/>
    <w:rsid w:val="0009220F"/>
    <w:rsid w:val="00092654"/>
    <w:rsid w:val="00092DFF"/>
    <w:rsid w:val="0009347D"/>
    <w:rsid w:val="000936B7"/>
    <w:rsid w:val="0009381B"/>
    <w:rsid w:val="00094148"/>
    <w:rsid w:val="00094ED1"/>
    <w:rsid w:val="00095688"/>
    <w:rsid w:val="0009596C"/>
    <w:rsid w:val="000962FC"/>
    <w:rsid w:val="0009733E"/>
    <w:rsid w:val="000976A2"/>
    <w:rsid w:val="000979C8"/>
    <w:rsid w:val="00097BB5"/>
    <w:rsid w:val="00097D1C"/>
    <w:rsid w:val="000A031D"/>
    <w:rsid w:val="000A04CD"/>
    <w:rsid w:val="000A10E6"/>
    <w:rsid w:val="000A11A2"/>
    <w:rsid w:val="000A19E7"/>
    <w:rsid w:val="000A1C65"/>
    <w:rsid w:val="000A2113"/>
    <w:rsid w:val="000A2310"/>
    <w:rsid w:val="000A241A"/>
    <w:rsid w:val="000A3073"/>
    <w:rsid w:val="000A3778"/>
    <w:rsid w:val="000A3E20"/>
    <w:rsid w:val="000A4D2C"/>
    <w:rsid w:val="000A57B5"/>
    <w:rsid w:val="000A5A9E"/>
    <w:rsid w:val="000A5B7A"/>
    <w:rsid w:val="000A5F7D"/>
    <w:rsid w:val="000A74B6"/>
    <w:rsid w:val="000A7FBC"/>
    <w:rsid w:val="000B01B3"/>
    <w:rsid w:val="000B0CEA"/>
    <w:rsid w:val="000B1934"/>
    <w:rsid w:val="000B4728"/>
    <w:rsid w:val="000B5425"/>
    <w:rsid w:val="000B5943"/>
    <w:rsid w:val="000B5D96"/>
    <w:rsid w:val="000B6199"/>
    <w:rsid w:val="000B6284"/>
    <w:rsid w:val="000B6E1E"/>
    <w:rsid w:val="000B7697"/>
    <w:rsid w:val="000B7EA4"/>
    <w:rsid w:val="000C0402"/>
    <w:rsid w:val="000C0650"/>
    <w:rsid w:val="000C0CCE"/>
    <w:rsid w:val="000C0F64"/>
    <w:rsid w:val="000C1390"/>
    <w:rsid w:val="000C2C86"/>
    <w:rsid w:val="000C2DDF"/>
    <w:rsid w:val="000C2F91"/>
    <w:rsid w:val="000C3594"/>
    <w:rsid w:val="000C4184"/>
    <w:rsid w:val="000C4B24"/>
    <w:rsid w:val="000C4E43"/>
    <w:rsid w:val="000C4F8E"/>
    <w:rsid w:val="000C5013"/>
    <w:rsid w:val="000C5318"/>
    <w:rsid w:val="000C6A57"/>
    <w:rsid w:val="000C7F6C"/>
    <w:rsid w:val="000D0254"/>
    <w:rsid w:val="000D036C"/>
    <w:rsid w:val="000D0B79"/>
    <w:rsid w:val="000D0BAE"/>
    <w:rsid w:val="000D18EB"/>
    <w:rsid w:val="000D2436"/>
    <w:rsid w:val="000D245F"/>
    <w:rsid w:val="000D2757"/>
    <w:rsid w:val="000D294F"/>
    <w:rsid w:val="000D298D"/>
    <w:rsid w:val="000D2A88"/>
    <w:rsid w:val="000D2C9E"/>
    <w:rsid w:val="000D2DF0"/>
    <w:rsid w:val="000D2EBE"/>
    <w:rsid w:val="000D315C"/>
    <w:rsid w:val="000D328F"/>
    <w:rsid w:val="000D3E1F"/>
    <w:rsid w:val="000D4519"/>
    <w:rsid w:val="000D521F"/>
    <w:rsid w:val="000D5428"/>
    <w:rsid w:val="000D5623"/>
    <w:rsid w:val="000D5E64"/>
    <w:rsid w:val="000D6049"/>
    <w:rsid w:val="000D6FB3"/>
    <w:rsid w:val="000D73E4"/>
    <w:rsid w:val="000E0375"/>
    <w:rsid w:val="000E08DB"/>
    <w:rsid w:val="000E0BD6"/>
    <w:rsid w:val="000E0BE3"/>
    <w:rsid w:val="000E0C0D"/>
    <w:rsid w:val="000E15FF"/>
    <w:rsid w:val="000E1BFE"/>
    <w:rsid w:val="000E2C85"/>
    <w:rsid w:val="000E30C3"/>
    <w:rsid w:val="000E30F4"/>
    <w:rsid w:val="000E3716"/>
    <w:rsid w:val="000E3BBF"/>
    <w:rsid w:val="000E4781"/>
    <w:rsid w:val="000E5605"/>
    <w:rsid w:val="000E6225"/>
    <w:rsid w:val="000E6658"/>
    <w:rsid w:val="000E7392"/>
    <w:rsid w:val="000F0813"/>
    <w:rsid w:val="000F11C4"/>
    <w:rsid w:val="000F13D3"/>
    <w:rsid w:val="000F1766"/>
    <w:rsid w:val="000F1B26"/>
    <w:rsid w:val="000F1E3F"/>
    <w:rsid w:val="000F230F"/>
    <w:rsid w:val="000F2EB5"/>
    <w:rsid w:val="000F32A6"/>
    <w:rsid w:val="000F3431"/>
    <w:rsid w:val="000F3DC6"/>
    <w:rsid w:val="000F47CC"/>
    <w:rsid w:val="000F5428"/>
    <w:rsid w:val="000F5A4A"/>
    <w:rsid w:val="000F5E61"/>
    <w:rsid w:val="000F65E1"/>
    <w:rsid w:val="000F6BDD"/>
    <w:rsid w:val="000F70EB"/>
    <w:rsid w:val="000F729A"/>
    <w:rsid w:val="000F739A"/>
    <w:rsid w:val="000F73A2"/>
    <w:rsid w:val="000F7614"/>
    <w:rsid w:val="0010092E"/>
    <w:rsid w:val="00100E0E"/>
    <w:rsid w:val="00100F54"/>
    <w:rsid w:val="00102142"/>
    <w:rsid w:val="001021B6"/>
    <w:rsid w:val="00102853"/>
    <w:rsid w:val="001032F6"/>
    <w:rsid w:val="00103904"/>
    <w:rsid w:val="00103F4A"/>
    <w:rsid w:val="00104E0F"/>
    <w:rsid w:val="00105A71"/>
    <w:rsid w:val="00105F03"/>
    <w:rsid w:val="001060CB"/>
    <w:rsid w:val="00106144"/>
    <w:rsid w:val="00106177"/>
    <w:rsid w:val="00106C16"/>
    <w:rsid w:val="00106C8F"/>
    <w:rsid w:val="00107877"/>
    <w:rsid w:val="0011044D"/>
    <w:rsid w:val="0011070D"/>
    <w:rsid w:val="00110AA8"/>
    <w:rsid w:val="0011100B"/>
    <w:rsid w:val="001110AD"/>
    <w:rsid w:val="00111690"/>
    <w:rsid w:val="0011188B"/>
    <w:rsid w:val="00111B69"/>
    <w:rsid w:val="00111B96"/>
    <w:rsid w:val="00112511"/>
    <w:rsid w:val="001125D1"/>
    <w:rsid w:val="00114180"/>
    <w:rsid w:val="00114350"/>
    <w:rsid w:val="00114A84"/>
    <w:rsid w:val="001159DE"/>
    <w:rsid w:val="00115BCE"/>
    <w:rsid w:val="00116121"/>
    <w:rsid w:val="00116B33"/>
    <w:rsid w:val="001179C1"/>
    <w:rsid w:val="00117C30"/>
    <w:rsid w:val="00117D6A"/>
    <w:rsid w:val="00120304"/>
    <w:rsid w:val="00120434"/>
    <w:rsid w:val="00120646"/>
    <w:rsid w:val="00120873"/>
    <w:rsid w:val="00121782"/>
    <w:rsid w:val="00121A8F"/>
    <w:rsid w:val="0012218B"/>
    <w:rsid w:val="0012279B"/>
    <w:rsid w:val="00122FCC"/>
    <w:rsid w:val="00124568"/>
    <w:rsid w:val="00124BD4"/>
    <w:rsid w:val="00125709"/>
    <w:rsid w:val="00125DF3"/>
    <w:rsid w:val="001261B2"/>
    <w:rsid w:val="00126865"/>
    <w:rsid w:val="00127695"/>
    <w:rsid w:val="001277EA"/>
    <w:rsid w:val="00127BFF"/>
    <w:rsid w:val="00127DAD"/>
    <w:rsid w:val="00131ACE"/>
    <w:rsid w:val="00131B2B"/>
    <w:rsid w:val="00131E55"/>
    <w:rsid w:val="0013253F"/>
    <w:rsid w:val="00132E37"/>
    <w:rsid w:val="00133442"/>
    <w:rsid w:val="001338FE"/>
    <w:rsid w:val="00133E19"/>
    <w:rsid w:val="001351D8"/>
    <w:rsid w:val="00136D23"/>
    <w:rsid w:val="001371DE"/>
    <w:rsid w:val="0014050E"/>
    <w:rsid w:val="00140514"/>
    <w:rsid w:val="00140E29"/>
    <w:rsid w:val="00141A1D"/>
    <w:rsid w:val="0014216E"/>
    <w:rsid w:val="00142A85"/>
    <w:rsid w:val="00142A94"/>
    <w:rsid w:val="00144910"/>
    <w:rsid w:val="001454FA"/>
    <w:rsid w:val="00145B98"/>
    <w:rsid w:val="00145C83"/>
    <w:rsid w:val="0014633C"/>
    <w:rsid w:val="00146849"/>
    <w:rsid w:val="00147955"/>
    <w:rsid w:val="0015007A"/>
    <w:rsid w:val="00150B78"/>
    <w:rsid w:val="00150E60"/>
    <w:rsid w:val="001510FF"/>
    <w:rsid w:val="00151336"/>
    <w:rsid w:val="001518F7"/>
    <w:rsid w:val="00151921"/>
    <w:rsid w:val="00151AFA"/>
    <w:rsid w:val="00151CDC"/>
    <w:rsid w:val="00151FB2"/>
    <w:rsid w:val="001523AA"/>
    <w:rsid w:val="00152521"/>
    <w:rsid w:val="0015269C"/>
    <w:rsid w:val="00152C9E"/>
    <w:rsid w:val="0015355E"/>
    <w:rsid w:val="00153A50"/>
    <w:rsid w:val="00153EC1"/>
    <w:rsid w:val="00154265"/>
    <w:rsid w:val="001559C9"/>
    <w:rsid w:val="00156694"/>
    <w:rsid w:val="00156C55"/>
    <w:rsid w:val="00156E93"/>
    <w:rsid w:val="00156EDF"/>
    <w:rsid w:val="00157BCC"/>
    <w:rsid w:val="00160208"/>
    <w:rsid w:val="001603B1"/>
    <w:rsid w:val="00160976"/>
    <w:rsid w:val="0016131D"/>
    <w:rsid w:val="00161757"/>
    <w:rsid w:val="00162B33"/>
    <w:rsid w:val="001630F2"/>
    <w:rsid w:val="001631C6"/>
    <w:rsid w:val="00163FE6"/>
    <w:rsid w:val="00164331"/>
    <w:rsid w:val="001649C3"/>
    <w:rsid w:val="00164DFF"/>
    <w:rsid w:val="00164F75"/>
    <w:rsid w:val="001663A8"/>
    <w:rsid w:val="00170FB0"/>
    <w:rsid w:val="001714F9"/>
    <w:rsid w:val="00171C20"/>
    <w:rsid w:val="00172C63"/>
    <w:rsid w:val="0017379A"/>
    <w:rsid w:val="00173F9F"/>
    <w:rsid w:val="0017404A"/>
    <w:rsid w:val="00174C5E"/>
    <w:rsid w:val="0017517F"/>
    <w:rsid w:val="0017591D"/>
    <w:rsid w:val="00175D41"/>
    <w:rsid w:val="001760C3"/>
    <w:rsid w:val="00176AD5"/>
    <w:rsid w:val="00176F48"/>
    <w:rsid w:val="00177860"/>
    <w:rsid w:val="00180108"/>
    <w:rsid w:val="0018036D"/>
    <w:rsid w:val="00181215"/>
    <w:rsid w:val="00181DA6"/>
    <w:rsid w:val="001824A9"/>
    <w:rsid w:val="00182877"/>
    <w:rsid w:val="00182EA2"/>
    <w:rsid w:val="00183EFB"/>
    <w:rsid w:val="00184BF0"/>
    <w:rsid w:val="001867E4"/>
    <w:rsid w:val="00186976"/>
    <w:rsid w:val="00186D65"/>
    <w:rsid w:val="00187512"/>
    <w:rsid w:val="00187BA5"/>
    <w:rsid w:val="00187D7E"/>
    <w:rsid w:val="00190C83"/>
    <w:rsid w:val="00191057"/>
    <w:rsid w:val="0019151E"/>
    <w:rsid w:val="00191661"/>
    <w:rsid w:val="00192202"/>
    <w:rsid w:val="001926B3"/>
    <w:rsid w:val="001934A5"/>
    <w:rsid w:val="00193CBC"/>
    <w:rsid w:val="00193F13"/>
    <w:rsid w:val="00193F74"/>
    <w:rsid w:val="00194770"/>
    <w:rsid w:val="001947A2"/>
    <w:rsid w:val="00195658"/>
    <w:rsid w:val="0019610A"/>
    <w:rsid w:val="001968B9"/>
    <w:rsid w:val="001968CF"/>
    <w:rsid w:val="00196BF3"/>
    <w:rsid w:val="00196C70"/>
    <w:rsid w:val="00196D13"/>
    <w:rsid w:val="00197088"/>
    <w:rsid w:val="001971A2"/>
    <w:rsid w:val="00197A31"/>
    <w:rsid w:val="001A091B"/>
    <w:rsid w:val="001A0BB6"/>
    <w:rsid w:val="001A1A54"/>
    <w:rsid w:val="001A1E86"/>
    <w:rsid w:val="001A2267"/>
    <w:rsid w:val="001A2A51"/>
    <w:rsid w:val="001A36E3"/>
    <w:rsid w:val="001A4272"/>
    <w:rsid w:val="001A456B"/>
    <w:rsid w:val="001A5407"/>
    <w:rsid w:val="001A6D96"/>
    <w:rsid w:val="001A76FF"/>
    <w:rsid w:val="001B021F"/>
    <w:rsid w:val="001B0BEA"/>
    <w:rsid w:val="001B18B6"/>
    <w:rsid w:val="001B1D04"/>
    <w:rsid w:val="001B1DC4"/>
    <w:rsid w:val="001B1DFF"/>
    <w:rsid w:val="001B1FC6"/>
    <w:rsid w:val="001B2456"/>
    <w:rsid w:val="001B3E50"/>
    <w:rsid w:val="001B419F"/>
    <w:rsid w:val="001B4447"/>
    <w:rsid w:val="001B5156"/>
    <w:rsid w:val="001B53DC"/>
    <w:rsid w:val="001B5AC8"/>
    <w:rsid w:val="001B66FC"/>
    <w:rsid w:val="001B6821"/>
    <w:rsid w:val="001B691F"/>
    <w:rsid w:val="001B6C1E"/>
    <w:rsid w:val="001B700F"/>
    <w:rsid w:val="001B78E4"/>
    <w:rsid w:val="001B7B87"/>
    <w:rsid w:val="001C0242"/>
    <w:rsid w:val="001C183B"/>
    <w:rsid w:val="001C198E"/>
    <w:rsid w:val="001C1F15"/>
    <w:rsid w:val="001C200C"/>
    <w:rsid w:val="001C3346"/>
    <w:rsid w:val="001C4870"/>
    <w:rsid w:val="001C4A9F"/>
    <w:rsid w:val="001C50C0"/>
    <w:rsid w:val="001C5776"/>
    <w:rsid w:val="001C579E"/>
    <w:rsid w:val="001C5BD1"/>
    <w:rsid w:val="001C7264"/>
    <w:rsid w:val="001C7CD5"/>
    <w:rsid w:val="001D090B"/>
    <w:rsid w:val="001D0EEF"/>
    <w:rsid w:val="001D127A"/>
    <w:rsid w:val="001D1994"/>
    <w:rsid w:val="001D36D8"/>
    <w:rsid w:val="001D3727"/>
    <w:rsid w:val="001D379C"/>
    <w:rsid w:val="001D3B77"/>
    <w:rsid w:val="001D43E3"/>
    <w:rsid w:val="001D441B"/>
    <w:rsid w:val="001D4D15"/>
    <w:rsid w:val="001D524A"/>
    <w:rsid w:val="001D5483"/>
    <w:rsid w:val="001D56AE"/>
    <w:rsid w:val="001D5F1F"/>
    <w:rsid w:val="001D5FED"/>
    <w:rsid w:val="001D6384"/>
    <w:rsid w:val="001D66E6"/>
    <w:rsid w:val="001D6B30"/>
    <w:rsid w:val="001D6C92"/>
    <w:rsid w:val="001D6F45"/>
    <w:rsid w:val="001D6F60"/>
    <w:rsid w:val="001D6FEB"/>
    <w:rsid w:val="001D7688"/>
    <w:rsid w:val="001D7966"/>
    <w:rsid w:val="001E02C2"/>
    <w:rsid w:val="001E0635"/>
    <w:rsid w:val="001E1888"/>
    <w:rsid w:val="001E1A16"/>
    <w:rsid w:val="001E1DE4"/>
    <w:rsid w:val="001E3BC2"/>
    <w:rsid w:val="001E3F3D"/>
    <w:rsid w:val="001E45B4"/>
    <w:rsid w:val="001E4BB3"/>
    <w:rsid w:val="001E4DC2"/>
    <w:rsid w:val="001E5EBE"/>
    <w:rsid w:val="001E6150"/>
    <w:rsid w:val="001E7125"/>
    <w:rsid w:val="001E7276"/>
    <w:rsid w:val="001E73E6"/>
    <w:rsid w:val="001E7804"/>
    <w:rsid w:val="001F0374"/>
    <w:rsid w:val="001F0FA5"/>
    <w:rsid w:val="001F20A6"/>
    <w:rsid w:val="001F34BF"/>
    <w:rsid w:val="001F38B8"/>
    <w:rsid w:val="001F39D0"/>
    <w:rsid w:val="001F4105"/>
    <w:rsid w:val="001F43F8"/>
    <w:rsid w:val="001F4E2D"/>
    <w:rsid w:val="001F508A"/>
    <w:rsid w:val="001F50E0"/>
    <w:rsid w:val="001F5625"/>
    <w:rsid w:val="001F67F7"/>
    <w:rsid w:val="001F72DB"/>
    <w:rsid w:val="001F7E90"/>
    <w:rsid w:val="00200561"/>
    <w:rsid w:val="002010BA"/>
    <w:rsid w:val="00202AB4"/>
    <w:rsid w:val="002033F6"/>
    <w:rsid w:val="00203FC3"/>
    <w:rsid w:val="002043B6"/>
    <w:rsid w:val="00205AAF"/>
    <w:rsid w:val="0020606E"/>
    <w:rsid w:val="0020685A"/>
    <w:rsid w:val="002070C2"/>
    <w:rsid w:val="0021065B"/>
    <w:rsid w:val="0021129B"/>
    <w:rsid w:val="00211723"/>
    <w:rsid w:val="00211FC1"/>
    <w:rsid w:val="0021240E"/>
    <w:rsid w:val="0021244C"/>
    <w:rsid w:val="00212ACF"/>
    <w:rsid w:val="00212AE5"/>
    <w:rsid w:val="00213DC7"/>
    <w:rsid w:val="00213FCD"/>
    <w:rsid w:val="002140A8"/>
    <w:rsid w:val="00214189"/>
    <w:rsid w:val="002145CB"/>
    <w:rsid w:val="002146C4"/>
    <w:rsid w:val="0021501B"/>
    <w:rsid w:val="0021553B"/>
    <w:rsid w:val="002157BF"/>
    <w:rsid w:val="0021591E"/>
    <w:rsid w:val="00215DE9"/>
    <w:rsid w:val="002161C8"/>
    <w:rsid w:val="00216B30"/>
    <w:rsid w:val="002173C1"/>
    <w:rsid w:val="00217DE1"/>
    <w:rsid w:val="002200D6"/>
    <w:rsid w:val="00220150"/>
    <w:rsid w:val="00220D33"/>
    <w:rsid w:val="0022132D"/>
    <w:rsid w:val="002216FA"/>
    <w:rsid w:val="00221A91"/>
    <w:rsid w:val="00222BA8"/>
    <w:rsid w:val="00222DEF"/>
    <w:rsid w:val="0022452E"/>
    <w:rsid w:val="0022482A"/>
    <w:rsid w:val="0022482D"/>
    <w:rsid w:val="00224931"/>
    <w:rsid w:val="00224ABC"/>
    <w:rsid w:val="002254A2"/>
    <w:rsid w:val="002256AF"/>
    <w:rsid w:val="00225A3A"/>
    <w:rsid w:val="00225CD4"/>
    <w:rsid w:val="00226488"/>
    <w:rsid w:val="00226D7A"/>
    <w:rsid w:val="00227C3B"/>
    <w:rsid w:val="00227C41"/>
    <w:rsid w:val="00227E1C"/>
    <w:rsid w:val="002311FB"/>
    <w:rsid w:val="00231372"/>
    <w:rsid w:val="00231388"/>
    <w:rsid w:val="002316A6"/>
    <w:rsid w:val="0023208E"/>
    <w:rsid w:val="002322B6"/>
    <w:rsid w:val="00232733"/>
    <w:rsid w:val="00232851"/>
    <w:rsid w:val="00232A28"/>
    <w:rsid w:val="00232A5C"/>
    <w:rsid w:val="00232B6D"/>
    <w:rsid w:val="002341C4"/>
    <w:rsid w:val="002344FB"/>
    <w:rsid w:val="0023454C"/>
    <w:rsid w:val="00234CB3"/>
    <w:rsid w:val="0023530A"/>
    <w:rsid w:val="00235319"/>
    <w:rsid w:val="00235DFC"/>
    <w:rsid w:val="00236DAD"/>
    <w:rsid w:val="00236EBB"/>
    <w:rsid w:val="00241829"/>
    <w:rsid w:val="0024280C"/>
    <w:rsid w:val="0024303F"/>
    <w:rsid w:val="0024375B"/>
    <w:rsid w:val="00243798"/>
    <w:rsid w:val="00243B16"/>
    <w:rsid w:val="00245D6C"/>
    <w:rsid w:val="00246365"/>
    <w:rsid w:val="00246E47"/>
    <w:rsid w:val="00246E8F"/>
    <w:rsid w:val="0024738A"/>
    <w:rsid w:val="00247C1F"/>
    <w:rsid w:val="00247FAC"/>
    <w:rsid w:val="00250725"/>
    <w:rsid w:val="002513FC"/>
    <w:rsid w:val="00251474"/>
    <w:rsid w:val="0025165B"/>
    <w:rsid w:val="00251CEC"/>
    <w:rsid w:val="00251DB7"/>
    <w:rsid w:val="00251E62"/>
    <w:rsid w:val="00251E86"/>
    <w:rsid w:val="00252127"/>
    <w:rsid w:val="0025285F"/>
    <w:rsid w:val="00252894"/>
    <w:rsid w:val="00252BCA"/>
    <w:rsid w:val="00253768"/>
    <w:rsid w:val="00253D0F"/>
    <w:rsid w:val="00253D9A"/>
    <w:rsid w:val="002540FF"/>
    <w:rsid w:val="002541B9"/>
    <w:rsid w:val="0025447F"/>
    <w:rsid w:val="00254520"/>
    <w:rsid w:val="00254DC7"/>
    <w:rsid w:val="00254E29"/>
    <w:rsid w:val="0025593C"/>
    <w:rsid w:val="002564F9"/>
    <w:rsid w:val="00256C32"/>
    <w:rsid w:val="00256EB5"/>
    <w:rsid w:val="0025798E"/>
    <w:rsid w:val="0026048A"/>
    <w:rsid w:val="00260664"/>
    <w:rsid w:val="0026072A"/>
    <w:rsid w:val="00260C59"/>
    <w:rsid w:val="00261006"/>
    <w:rsid w:val="00261853"/>
    <w:rsid w:val="002628A5"/>
    <w:rsid w:val="00263623"/>
    <w:rsid w:val="002638E2"/>
    <w:rsid w:val="00264262"/>
    <w:rsid w:val="0026477F"/>
    <w:rsid w:val="00265CD3"/>
    <w:rsid w:val="00266433"/>
    <w:rsid w:val="00266AAA"/>
    <w:rsid w:val="00266CB0"/>
    <w:rsid w:val="00267739"/>
    <w:rsid w:val="00267CA0"/>
    <w:rsid w:val="00267E17"/>
    <w:rsid w:val="002705FA"/>
    <w:rsid w:val="0027097E"/>
    <w:rsid w:val="002711E9"/>
    <w:rsid w:val="0027258F"/>
    <w:rsid w:val="00272952"/>
    <w:rsid w:val="00272B59"/>
    <w:rsid w:val="002730B8"/>
    <w:rsid w:val="0027409B"/>
    <w:rsid w:val="00274961"/>
    <w:rsid w:val="0027642D"/>
    <w:rsid w:val="0027669D"/>
    <w:rsid w:val="0027713D"/>
    <w:rsid w:val="00277C98"/>
    <w:rsid w:val="00277CE6"/>
    <w:rsid w:val="00277DD8"/>
    <w:rsid w:val="00280238"/>
    <w:rsid w:val="00280452"/>
    <w:rsid w:val="00281102"/>
    <w:rsid w:val="00281138"/>
    <w:rsid w:val="0028179D"/>
    <w:rsid w:val="002817BE"/>
    <w:rsid w:val="00281E52"/>
    <w:rsid w:val="00281F49"/>
    <w:rsid w:val="00282081"/>
    <w:rsid w:val="002824F0"/>
    <w:rsid w:val="00283633"/>
    <w:rsid w:val="00284F58"/>
    <w:rsid w:val="00284FF7"/>
    <w:rsid w:val="0028536C"/>
    <w:rsid w:val="00285B11"/>
    <w:rsid w:val="00286812"/>
    <w:rsid w:val="002869F1"/>
    <w:rsid w:val="00290D87"/>
    <w:rsid w:val="0029122F"/>
    <w:rsid w:val="00291749"/>
    <w:rsid w:val="00291B1D"/>
    <w:rsid w:val="002922E3"/>
    <w:rsid w:val="002937EA"/>
    <w:rsid w:val="002946C3"/>
    <w:rsid w:val="00294F8A"/>
    <w:rsid w:val="00295870"/>
    <w:rsid w:val="0029605D"/>
    <w:rsid w:val="00296237"/>
    <w:rsid w:val="0029671A"/>
    <w:rsid w:val="002967F7"/>
    <w:rsid w:val="00296B2A"/>
    <w:rsid w:val="002972AE"/>
    <w:rsid w:val="00297947"/>
    <w:rsid w:val="002A0843"/>
    <w:rsid w:val="002A122D"/>
    <w:rsid w:val="002A1574"/>
    <w:rsid w:val="002A159B"/>
    <w:rsid w:val="002A15B7"/>
    <w:rsid w:val="002A1C35"/>
    <w:rsid w:val="002A221B"/>
    <w:rsid w:val="002A24FE"/>
    <w:rsid w:val="002A2887"/>
    <w:rsid w:val="002A2CF6"/>
    <w:rsid w:val="002A2F81"/>
    <w:rsid w:val="002A4848"/>
    <w:rsid w:val="002A548B"/>
    <w:rsid w:val="002A5A90"/>
    <w:rsid w:val="002A5F6F"/>
    <w:rsid w:val="002A61BE"/>
    <w:rsid w:val="002A6FFF"/>
    <w:rsid w:val="002A7687"/>
    <w:rsid w:val="002A7C09"/>
    <w:rsid w:val="002A7F73"/>
    <w:rsid w:val="002B053A"/>
    <w:rsid w:val="002B0545"/>
    <w:rsid w:val="002B07B6"/>
    <w:rsid w:val="002B08D5"/>
    <w:rsid w:val="002B09CE"/>
    <w:rsid w:val="002B0A99"/>
    <w:rsid w:val="002B0D5C"/>
    <w:rsid w:val="002B19CD"/>
    <w:rsid w:val="002B1ABF"/>
    <w:rsid w:val="002B2DC7"/>
    <w:rsid w:val="002B36BE"/>
    <w:rsid w:val="002B377E"/>
    <w:rsid w:val="002B378E"/>
    <w:rsid w:val="002B399C"/>
    <w:rsid w:val="002B3E43"/>
    <w:rsid w:val="002B4145"/>
    <w:rsid w:val="002B42FD"/>
    <w:rsid w:val="002B47C6"/>
    <w:rsid w:val="002B5BC4"/>
    <w:rsid w:val="002B6332"/>
    <w:rsid w:val="002B63A1"/>
    <w:rsid w:val="002B655B"/>
    <w:rsid w:val="002B6921"/>
    <w:rsid w:val="002B6E90"/>
    <w:rsid w:val="002B721B"/>
    <w:rsid w:val="002B78CE"/>
    <w:rsid w:val="002B78D5"/>
    <w:rsid w:val="002C1F1D"/>
    <w:rsid w:val="002C20A3"/>
    <w:rsid w:val="002C25F5"/>
    <w:rsid w:val="002C2FFC"/>
    <w:rsid w:val="002C394F"/>
    <w:rsid w:val="002C48BC"/>
    <w:rsid w:val="002C4B57"/>
    <w:rsid w:val="002C4D12"/>
    <w:rsid w:val="002C4F83"/>
    <w:rsid w:val="002C552B"/>
    <w:rsid w:val="002C68A9"/>
    <w:rsid w:val="002C7F94"/>
    <w:rsid w:val="002C7FC9"/>
    <w:rsid w:val="002D03F5"/>
    <w:rsid w:val="002D06AC"/>
    <w:rsid w:val="002D12C7"/>
    <w:rsid w:val="002D24B5"/>
    <w:rsid w:val="002D2D0E"/>
    <w:rsid w:val="002D38E3"/>
    <w:rsid w:val="002D3A45"/>
    <w:rsid w:val="002D3D55"/>
    <w:rsid w:val="002D3E60"/>
    <w:rsid w:val="002D4260"/>
    <w:rsid w:val="002D436E"/>
    <w:rsid w:val="002D4825"/>
    <w:rsid w:val="002D4B8F"/>
    <w:rsid w:val="002D4CDB"/>
    <w:rsid w:val="002D5333"/>
    <w:rsid w:val="002D5386"/>
    <w:rsid w:val="002D606B"/>
    <w:rsid w:val="002D7351"/>
    <w:rsid w:val="002D7B74"/>
    <w:rsid w:val="002D7C68"/>
    <w:rsid w:val="002E0E4B"/>
    <w:rsid w:val="002E0EFD"/>
    <w:rsid w:val="002E12AF"/>
    <w:rsid w:val="002E2DA2"/>
    <w:rsid w:val="002E3160"/>
    <w:rsid w:val="002E37B5"/>
    <w:rsid w:val="002E3A30"/>
    <w:rsid w:val="002E3A53"/>
    <w:rsid w:val="002E3D57"/>
    <w:rsid w:val="002E3E32"/>
    <w:rsid w:val="002E506D"/>
    <w:rsid w:val="002E6C2B"/>
    <w:rsid w:val="002E6F79"/>
    <w:rsid w:val="002E73F7"/>
    <w:rsid w:val="002F0E2B"/>
    <w:rsid w:val="002F1301"/>
    <w:rsid w:val="002F289F"/>
    <w:rsid w:val="002F28DF"/>
    <w:rsid w:val="002F295A"/>
    <w:rsid w:val="002F2960"/>
    <w:rsid w:val="002F4442"/>
    <w:rsid w:val="002F5605"/>
    <w:rsid w:val="002F5823"/>
    <w:rsid w:val="002F59F7"/>
    <w:rsid w:val="002F5C20"/>
    <w:rsid w:val="002F5E19"/>
    <w:rsid w:val="002F5F85"/>
    <w:rsid w:val="002F61D4"/>
    <w:rsid w:val="002F61F3"/>
    <w:rsid w:val="002F6674"/>
    <w:rsid w:val="002F73B3"/>
    <w:rsid w:val="002F75FE"/>
    <w:rsid w:val="002F7E98"/>
    <w:rsid w:val="002F7E9B"/>
    <w:rsid w:val="00300030"/>
    <w:rsid w:val="003001D1"/>
    <w:rsid w:val="0030108C"/>
    <w:rsid w:val="0030171B"/>
    <w:rsid w:val="00302052"/>
    <w:rsid w:val="0030210A"/>
    <w:rsid w:val="00302BAC"/>
    <w:rsid w:val="00302C8F"/>
    <w:rsid w:val="00302EAA"/>
    <w:rsid w:val="00303CDB"/>
    <w:rsid w:val="00304D25"/>
    <w:rsid w:val="00304FBA"/>
    <w:rsid w:val="003052FA"/>
    <w:rsid w:val="00305630"/>
    <w:rsid w:val="0030572F"/>
    <w:rsid w:val="00305938"/>
    <w:rsid w:val="003067E2"/>
    <w:rsid w:val="00306830"/>
    <w:rsid w:val="00306B6E"/>
    <w:rsid w:val="00306E6C"/>
    <w:rsid w:val="00307113"/>
    <w:rsid w:val="003073BA"/>
    <w:rsid w:val="00307462"/>
    <w:rsid w:val="003105F5"/>
    <w:rsid w:val="003109E0"/>
    <w:rsid w:val="003127CC"/>
    <w:rsid w:val="00312C1C"/>
    <w:rsid w:val="00312CC8"/>
    <w:rsid w:val="00313630"/>
    <w:rsid w:val="00314939"/>
    <w:rsid w:val="003154B6"/>
    <w:rsid w:val="003162BA"/>
    <w:rsid w:val="0031630B"/>
    <w:rsid w:val="00316899"/>
    <w:rsid w:val="00316978"/>
    <w:rsid w:val="003174C5"/>
    <w:rsid w:val="003179BA"/>
    <w:rsid w:val="0032096F"/>
    <w:rsid w:val="00320F01"/>
    <w:rsid w:val="0032105D"/>
    <w:rsid w:val="00322548"/>
    <w:rsid w:val="00322A61"/>
    <w:rsid w:val="00322C57"/>
    <w:rsid w:val="003230D7"/>
    <w:rsid w:val="003240FD"/>
    <w:rsid w:val="003248B0"/>
    <w:rsid w:val="00324FE0"/>
    <w:rsid w:val="00325079"/>
    <w:rsid w:val="003258CE"/>
    <w:rsid w:val="00325C4D"/>
    <w:rsid w:val="00325F3B"/>
    <w:rsid w:val="00327A57"/>
    <w:rsid w:val="003304B9"/>
    <w:rsid w:val="00330523"/>
    <w:rsid w:val="0033054A"/>
    <w:rsid w:val="00330644"/>
    <w:rsid w:val="00330B7D"/>
    <w:rsid w:val="00331096"/>
    <w:rsid w:val="003312A3"/>
    <w:rsid w:val="003319FE"/>
    <w:rsid w:val="0033221F"/>
    <w:rsid w:val="00332F39"/>
    <w:rsid w:val="00333A4F"/>
    <w:rsid w:val="00333F51"/>
    <w:rsid w:val="00334110"/>
    <w:rsid w:val="0033416E"/>
    <w:rsid w:val="0033448D"/>
    <w:rsid w:val="003345D3"/>
    <w:rsid w:val="00334638"/>
    <w:rsid w:val="00334774"/>
    <w:rsid w:val="0033530E"/>
    <w:rsid w:val="00335367"/>
    <w:rsid w:val="003354F1"/>
    <w:rsid w:val="00335CFB"/>
    <w:rsid w:val="003361F0"/>
    <w:rsid w:val="0033678E"/>
    <w:rsid w:val="00337043"/>
    <w:rsid w:val="003375D6"/>
    <w:rsid w:val="00337B5A"/>
    <w:rsid w:val="00337FB0"/>
    <w:rsid w:val="00340389"/>
    <w:rsid w:val="003408AE"/>
    <w:rsid w:val="00340D8E"/>
    <w:rsid w:val="00341254"/>
    <w:rsid w:val="003422CE"/>
    <w:rsid w:val="0034323C"/>
    <w:rsid w:val="003434FF"/>
    <w:rsid w:val="0034362A"/>
    <w:rsid w:val="0034394C"/>
    <w:rsid w:val="00343F39"/>
    <w:rsid w:val="003444CA"/>
    <w:rsid w:val="003448D6"/>
    <w:rsid w:val="003452A2"/>
    <w:rsid w:val="00345C47"/>
    <w:rsid w:val="00345F93"/>
    <w:rsid w:val="003462A5"/>
    <w:rsid w:val="00346CB3"/>
    <w:rsid w:val="003471AD"/>
    <w:rsid w:val="00347644"/>
    <w:rsid w:val="0034780E"/>
    <w:rsid w:val="0035048D"/>
    <w:rsid w:val="0035090C"/>
    <w:rsid w:val="00350B3C"/>
    <w:rsid w:val="00350D9A"/>
    <w:rsid w:val="003512FA"/>
    <w:rsid w:val="00351A11"/>
    <w:rsid w:val="00351D19"/>
    <w:rsid w:val="00351FC9"/>
    <w:rsid w:val="00353CDB"/>
    <w:rsid w:val="00354711"/>
    <w:rsid w:val="00354766"/>
    <w:rsid w:val="003549E9"/>
    <w:rsid w:val="00355200"/>
    <w:rsid w:val="00355967"/>
    <w:rsid w:val="00355B2A"/>
    <w:rsid w:val="00355E1B"/>
    <w:rsid w:val="00356B09"/>
    <w:rsid w:val="00356BC1"/>
    <w:rsid w:val="0035734D"/>
    <w:rsid w:val="003576E9"/>
    <w:rsid w:val="003576F0"/>
    <w:rsid w:val="00357EA3"/>
    <w:rsid w:val="00360E19"/>
    <w:rsid w:val="00360F1B"/>
    <w:rsid w:val="00361111"/>
    <w:rsid w:val="003615B9"/>
    <w:rsid w:val="00361692"/>
    <w:rsid w:val="003620D4"/>
    <w:rsid w:val="00362B32"/>
    <w:rsid w:val="00362D24"/>
    <w:rsid w:val="00364138"/>
    <w:rsid w:val="00364175"/>
    <w:rsid w:val="003651B6"/>
    <w:rsid w:val="00366139"/>
    <w:rsid w:val="00366440"/>
    <w:rsid w:val="003679D6"/>
    <w:rsid w:val="00370A72"/>
    <w:rsid w:val="00370AAA"/>
    <w:rsid w:val="00370BF5"/>
    <w:rsid w:val="0037131C"/>
    <w:rsid w:val="003713DC"/>
    <w:rsid w:val="003713FC"/>
    <w:rsid w:val="00371C85"/>
    <w:rsid w:val="00374AAE"/>
    <w:rsid w:val="00374BEE"/>
    <w:rsid w:val="00374FA2"/>
    <w:rsid w:val="00375147"/>
    <w:rsid w:val="0037539C"/>
    <w:rsid w:val="00375A19"/>
    <w:rsid w:val="00376046"/>
    <w:rsid w:val="003762A1"/>
    <w:rsid w:val="003765EA"/>
    <w:rsid w:val="00376AD0"/>
    <w:rsid w:val="003773C8"/>
    <w:rsid w:val="00377416"/>
    <w:rsid w:val="00377A67"/>
    <w:rsid w:val="00377F7C"/>
    <w:rsid w:val="00377FD2"/>
    <w:rsid w:val="0038005A"/>
    <w:rsid w:val="003804DE"/>
    <w:rsid w:val="003805BA"/>
    <w:rsid w:val="00380863"/>
    <w:rsid w:val="003828F1"/>
    <w:rsid w:val="003831F2"/>
    <w:rsid w:val="0038330D"/>
    <w:rsid w:val="00383375"/>
    <w:rsid w:val="00383A04"/>
    <w:rsid w:val="00384A26"/>
    <w:rsid w:val="00384BFA"/>
    <w:rsid w:val="0038509E"/>
    <w:rsid w:val="00386C57"/>
    <w:rsid w:val="00387D9A"/>
    <w:rsid w:val="003902BD"/>
    <w:rsid w:val="0039171F"/>
    <w:rsid w:val="00391D98"/>
    <w:rsid w:val="00392021"/>
    <w:rsid w:val="003929CA"/>
    <w:rsid w:val="00392A51"/>
    <w:rsid w:val="00392C88"/>
    <w:rsid w:val="00392E44"/>
    <w:rsid w:val="00393B8D"/>
    <w:rsid w:val="00393DCF"/>
    <w:rsid w:val="003945D8"/>
    <w:rsid w:val="003945D9"/>
    <w:rsid w:val="00394F7F"/>
    <w:rsid w:val="003952AA"/>
    <w:rsid w:val="00395E4D"/>
    <w:rsid w:val="003964CD"/>
    <w:rsid w:val="00396AAE"/>
    <w:rsid w:val="00396DC7"/>
    <w:rsid w:val="00396E38"/>
    <w:rsid w:val="00396E69"/>
    <w:rsid w:val="00396EF7"/>
    <w:rsid w:val="003970B5"/>
    <w:rsid w:val="0039717E"/>
    <w:rsid w:val="003A0274"/>
    <w:rsid w:val="003A02B2"/>
    <w:rsid w:val="003A06C0"/>
    <w:rsid w:val="003A0913"/>
    <w:rsid w:val="003A0BDE"/>
    <w:rsid w:val="003A0C19"/>
    <w:rsid w:val="003A0D87"/>
    <w:rsid w:val="003A1BB9"/>
    <w:rsid w:val="003A1CAE"/>
    <w:rsid w:val="003A1FC6"/>
    <w:rsid w:val="003A205B"/>
    <w:rsid w:val="003A2751"/>
    <w:rsid w:val="003A2CAB"/>
    <w:rsid w:val="003A36ED"/>
    <w:rsid w:val="003A3B32"/>
    <w:rsid w:val="003A5BE8"/>
    <w:rsid w:val="003A6519"/>
    <w:rsid w:val="003A6BCB"/>
    <w:rsid w:val="003A7784"/>
    <w:rsid w:val="003A7B24"/>
    <w:rsid w:val="003B070D"/>
    <w:rsid w:val="003B1479"/>
    <w:rsid w:val="003B19DE"/>
    <w:rsid w:val="003B21AF"/>
    <w:rsid w:val="003B2FFB"/>
    <w:rsid w:val="003B34A0"/>
    <w:rsid w:val="003B3BB0"/>
    <w:rsid w:val="003B3D14"/>
    <w:rsid w:val="003B3F52"/>
    <w:rsid w:val="003B4B87"/>
    <w:rsid w:val="003B4DB2"/>
    <w:rsid w:val="003B5950"/>
    <w:rsid w:val="003B5A4E"/>
    <w:rsid w:val="003B5D43"/>
    <w:rsid w:val="003B6879"/>
    <w:rsid w:val="003B6E37"/>
    <w:rsid w:val="003B743C"/>
    <w:rsid w:val="003C0529"/>
    <w:rsid w:val="003C0D6A"/>
    <w:rsid w:val="003C0F1D"/>
    <w:rsid w:val="003C0FD9"/>
    <w:rsid w:val="003C2371"/>
    <w:rsid w:val="003C2639"/>
    <w:rsid w:val="003C33F0"/>
    <w:rsid w:val="003C42D5"/>
    <w:rsid w:val="003C4906"/>
    <w:rsid w:val="003C5570"/>
    <w:rsid w:val="003C5866"/>
    <w:rsid w:val="003C58CA"/>
    <w:rsid w:val="003C5BC1"/>
    <w:rsid w:val="003C69D7"/>
    <w:rsid w:val="003C6E3C"/>
    <w:rsid w:val="003C6E48"/>
    <w:rsid w:val="003C6FD5"/>
    <w:rsid w:val="003C700F"/>
    <w:rsid w:val="003C7996"/>
    <w:rsid w:val="003C7F8B"/>
    <w:rsid w:val="003D0161"/>
    <w:rsid w:val="003D02E5"/>
    <w:rsid w:val="003D1D78"/>
    <w:rsid w:val="003D1E05"/>
    <w:rsid w:val="003D2013"/>
    <w:rsid w:val="003D2C77"/>
    <w:rsid w:val="003D317F"/>
    <w:rsid w:val="003D3272"/>
    <w:rsid w:val="003D342F"/>
    <w:rsid w:val="003D382B"/>
    <w:rsid w:val="003D3AEE"/>
    <w:rsid w:val="003D4A10"/>
    <w:rsid w:val="003D74F1"/>
    <w:rsid w:val="003D779E"/>
    <w:rsid w:val="003D79A4"/>
    <w:rsid w:val="003E025D"/>
    <w:rsid w:val="003E0BA0"/>
    <w:rsid w:val="003E0BAB"/>
    <w:rsid w:val="003E0EEE"/>
    <w:rsid w:val="003E1854"/>
    <w:rsid w:val="003E1B58"/>
    <w:rsid w:val="003E1EA9"/>
    <w:rsid w:val="003E34AA"/>
    <w:rsid w:val="003E353A"/>
    <w:rsid w:val="003E408A"/>
    <w:rsid w:val="003E4B6C"/>
    <w:rsid w:val="003E50C2"/>
    <w:rsid w:val="003E59F5"/>
    <w:rsid w:val="003E6949"/>
    <w:rsid w:val="003E75BD"/>
    <w:rsid w:val="003E78ED"/>
    <w:rsid w:val="003E79BD"/>
    <w:rsid w:val="003F0069"/>
    <w:rsid w:val="003F053F"/>
    <w:rsid w:val="003F11DC"/>
    <w:rsid w:val="003F14D1"/>
    <w:rsid w:val="003F1595"/>
    <w:rsid w:val="003F1C01"/>
    <w:rsid w:val="003F2A02"/>
    <w:rsid w:val="003F2AC0"/>
    <w:rsid w:val="003F2B4D"/>
    <w:rsid w:val="003F48D7"/>
    <w:rsid w:val="003F4CD0"/>
    <w:rsid w:val="003F4E00"/>
    <w:rsid w:val="003F67AD"/>
    <w:rsid w:val="003F6E2E"/>
    <w:rsid w:val="003F6F14"/>
    <w:rsid w:val="003F7017"/>
    <w:rsid w:val="003F788F"/>
    <w:rsid w:val="003F790C"/>
    <w:rsid w:val="003F7A2C"/>
    <w:rsid w:val="003F7B1E"/>
    <w:rsid w:val="003F7B22"/>
    <w:rsid w:val="003F7F70"/>
    <w:rsid w:val="0040139E"/>
    <w:rsid w:val="00402105"/>
    <w:rsid w:val="00402209"/>
    <w:rsid w:val="004031E2"/>
    <w:rsid w:val="00403538"/>
    <w:rsid w:val="00403A3C"/>
    <w:rsid w:val="00403D1F"/>
    <w:rsid w:val="00403D48"/>
    <w:rsid w:val="00403FFB"/>
    <w:rsid w:val="00404237"/>
    <w:rsid w:val="0040424A"/>
    <w:rsid w:val="0040426E"/>
    <w:rsid w:val="0040460E"/>
    <w:rsid w:val="004047B6"/>
    <w:rsid w:val="004047C3"/>
    <w:rsid w:val="00404AF5"/>
    <w:rsid w:val="00404B31"/>
    <w:rsid w:val="00404E14"/>
    <w:rsid w:val="00405702"/>
    <w:rsid w:val="00405E23"/>
    <w:rsid w:val="00405FD6"/>
    <w:rsid w:val="00406689"/>
    <w:rsid w:val="00406735"/>
    <w:rsid w:val="0040727E"/>
    <w:rsid w:val="00411F13"/>
    <w:rsid w:val="00411FD7"/>
    <w:rsid w:val="00412343"/>
    <w:rsid w:val="00412FD2"/>
    <w:rsid w:val="00413429"/>
    <w:rsid w:val="00413E19"/>
    <w:rsid w:val="00414072"/>
    <w:rsid w:val="004143C7"/>
    <w:rsid w:val="00414BBD"/>
    <w:rsid w:val="00414D0F"/>
    <w:rsid w:val="00414E19"/>
    <w:rsid w:val="00415585"/>
    <w:rsid w:val="004157CB"/>
    <w:rsid w:val="00415EEC"/>
    <w:rsid w:val="00415F60"/>
    <w:rsid w:val="004161CF"/>
    <w:rsid w:val="00416A67"/>
    <w:rsid w:val="004172EC"/>
    <w:rsid w:val="00417BC2"/>
    <w:rsid w:val="00420655"/>
    <w:rsid w:val="0042173A"/>
    <w:rsid w:val="004217AF"/>
    <w:rsid w:val="00421B09"/>
    <w:rsid w:val="00422461"/>
    <w:rsid w:val="004224BA"/>
    <w:rsid w:val="00422AB8"/>
    <w:rsid w:val="00422B82"/>
    <w:rsid w:val="0042367E"/>
    <w:rsid w:val="00423C99"/>
    <w:rsid w:val="00423DED"/>
    <w:rsid w:val="00424025"/>
    <w:rsid w:val="00424647"/>
    <w:rsid w:val="00424B86"/>
    <w:rsid w:val="00424BB1"/>
    <w:rsid w:val="0042595E"/>
    <w:rsid w:val="004259C1"/>
    <w:rsid w:val="00425BED"/>
    <w:rsid w:val="004261FE"/>
    <w:rsid w:val="00426A05"/>
    <w:rsid w:val="00426FBF"/>
    <w:rsid w:val="00427788"/>
    <w:rsid w:val="004310A6"/>
    <w:rsid w:val="004324C4"/>
    <w:rsid w:val="004337A1"/>
    <w:rsid w:val="0043383C"/>
    <w:rsid w:val="00433C6E"/>
    <w:rsid w:val="0043440B"/>
    <w:rsid w:val="00434AA0"/>
    <w:rsid w:val="004353A8"/>
    <w:rsid w:val="00435B68"/>
    <w:rsid w:val="00436076"/>
    <w:rsid w:val="0043636F"/>
    <w:rsid w:val="0043644F"/>
    <w:rsid w:val="004365A6"/>
    <w:rsid w:val="00437CC9"/>
    <w:rsid w:val="00440747"/>
    <w:rsid w:val="004412E5"/>
    <w:rsid w:val="00441EA7"/>
    <w:rsid w:val="00443D75"/>
    <w:rsid w:val="00443DFA"/>
    <w:rsid w:val="00444C73"/>
    <w:rsid w:val="004453F9"/>
    <w:rsid w:val="00445860"/>
    <w:rsid w:val="0044588F"/>
    <w:rsid w:val="004458D6"/>
    <w:rsid w:val="004466F9"/>
    <w:rsid w:val="00446994"/>
    <w:rsid w:val="00446C41"/>
    <w:rsid w:val="00447A54"/>
    <w:rsid w:val="0045020A"/>
    <w:rsid w:val="00450968"/>
    <w:rsid w:val="00450DB3"/>
    <w:rsid w:val="00450E7E"/>
    <w:rsid w:val="0045161B"/>
    <w:rsid w:val="0045193D"/>
    <w:rsid w:val="00451E21"/>
    <w:rsid w:val="00452206"/>
    <w:rsid w:val="00452F52"/>
    <w:rsid w:val="004534ED"/>
    <w:rsid w:val="00453539"/>
    <w:rsid w:val="004538EB"/>
    <w:rsid w:val="00454431"/>
    <w:rsid w:val="00454938"/>
    <w:rsid w:val="00454EC7"/>
    <w:rsid w:val="00455243"/>
    <w:rsid w:val="00455279"/>
    <w:rsid w:val="00455867"/>
    <w:rsid w:val="00455E42"/>
    <w:rsid w:val="00456F3A"/>
    <w:rsid w:val="00456FB3"/>
    <w:rsid w:val="00457742"/>
    <w:rsid w:val="00457D01"/>
    <w:rsid w:val="00457F89"/>
    <w:rsid w:val="00460061"/>
    <w:rsid w:val="0046057B"/>
    <w:rsid w:val="00460788"/>
    <w:rsid w:val="00463261"/>
    <w:rsid w:val="0046355E"/>
    <w:rsid w:val="0046483B"/>
    <w:rsid w:val="00464A74"/>
    <w:rsid w:val="00464B07"/>
    <w:rsid w:val="00464D10"/>
    <w:rsid w:val="00464EE9"/>
    <w:rsid w:val="00465055"/>
    <w:rsid w:val="004655DC"/>
    <w:rsid w:val="004669B1"/>
    <w:rsid w:val="0046702E"/>
    <w:rsid w:val="004673E6"/>
    <w:rsid w:val="00467B56"/>
    <w:rsid w:val="00467E10"/>
    <w:rsid w:val="004701AF"/>
    <w:rsid w:val="00470817"/>
    <w:rsid w:val="0047159B"/>
    <w:rsid w:val="00472068"/>
    <w:rsid w:val="00472188"/>
    <w:rsid w:val="0047386B"/>
    <w:rsid w:val="0047393C"/>
    <w:rsid w:val="00473E6E"/>
    <w:rsid w:val="00474618"/>
    <w:rsid w:val="00474646"/>
    <w:rsid w:val="00474E45"/>
    <w:rsid w:val="0047520F"/>
    <w:rsid w:val="00475848"/>
    <w:rsid w:val="00475A31"/>
    <w:rsid w:val="00475C0C"/>
    <w:rsid w:val="00476122"/>
    <w:rsid w:val="00476322"/>
    <w:rsid w:val="00477A42"/>
    <w:rsid w:val="00480080"/>
    <w:rsid w:val="00480369"/>
    <w:rsid w:val="00480431"/>
    <w:rsid w:val="00480DBF"/>
    <w:rsid w:val="00481164"/>
    <w:rsid w:val="0048131F"/>
    <w:rsid w:val="00481A9A"/>
    <w:rsid w:val="004831BC"/>
    <w:rsid w:val="00483E8D"/>
    <w:rsid w:val="004843A3"/>
    <w:rsid w:val="00484AA3"/>
    <w:rsid w:val="00484D73"/>
    <w:rsid w:val="004854C5"/>
    <w:rsid w:val="00485530"/>
    <w:rsid w:val="00485653"/>
    <w:rsid w:val="004867C0"/>
    <w:rsid w:val="00486A76"/>
    <w:rsid w:val="00486E93"/>
    <w:rsid w:val="004870BE"/>
    <w:rsid w:val="0048726B"/>
    <w:rsid w:val="004877DE"/>
    <w:rsid w:val="00487DDB"/>
    <w:rsid w:val="004904AD"/>
    <w:rsid w:val="0049104B"/>
    <w:rsid w:val="004912C6"/>
    <w:rsid w:val="0049187A"/>
    <w:rsid w:val="00491C02"/>
    <w:rsid w:val="00491C5E"/>
    <w:rsid w:val="00492EAF"/>
    <w:rsid w:val="00493B6D"/>
    <w:rsid w:val="004947C8"/>
    <w:rsid w:val="004949A7"/>
    <w:rsid w:val="004959B5"/>
    <w:rsid w:val="00495B59"/>
    <w:rsid w:val="00496945"/>
    <w:rsid w:val="00496AF6"/>
    <w:rsid w:val="00497714"/>
    <w:rsid w:val="00497BE2"/>
    <w:rsid w:val="00497BFD"/>
    <w:rsid w:val="004A0663"/>
    <w:rsid w:val="004A165A"/>
    <w:rsid w:val="004A1F5F"/>
    <w:rsid w:val="004A2C3A"/>
    <w:rsid w:val="004A33C9"/>
    <w:rsid w:val="004A3835"/>
    <w:rsid w:val="004A40D4"/>
    <w:rsid w:val="004A419E"/>
    <w:rsid w:val="004A56FF"/>
    <w:rsid w:val="004A5D17"/>
    <w:rsid w:val="004A5DBD"/>
    <w:rsid w:val="004A6363"/>
    <w:rsid w:val="004A6BDA"/>
    <w:rsid w:val="004A6E79"/>
    <w:rsid w:val="004A7244"/>
    <w:rsid w:val="004A7F2B"/>
    <w:rsid w:val="004B003C"/>
    <w:rsid w:val="004B0130"/>
    <w:rsid w:val="004B0610"/>
    <w:rsid w:val="004B11C4"/>
    <w:rsid w:val="004B1A86"/>
    <w:rsid w:val="004B1DB4"/>
    <w:rsid w:val="004B1E57"/>
    <w:rsid w:val="004B1EAE"/>
    <w:rsid w:val="004B21ED"/>
    <w:rsid w:val="004B24A5"/>
    <w:rsid w:val="004B29CF"/>
    <w:rsid w:val="004B2D60"/>
    <w:rsid w:val="004B3438"/>
    <w:rsid w:val="004B3712"/>
    <w:rsid w:val="004B3D86"/>
    <w:rsid w:val="004B4021"/>
    <w:rsid w:val="004B4216"/>
    <w:rsid w:val="004B4B4F"/>
    <w:rsid w:val="004B4D6C"/>
    <w:rsid w:val="004B4F82"/>
    <w:rsid w:val="004B62FE"/>
    <w:rsid w:val="004B6ADA"/>
    <w:rsid w:val="004B7095"/>
    <w:rsid w:val="004B74CE"/>
    <w:rsid w:val="004C0444"/>
    <w:rsid w:val="004C0CC8"/>
    <w:rsid w:val="004C0F81"/>
    <w:rsid w:val="004C2229"/>
    <w:rsid w:val="004C36FF"/>
    <w:rsid w:val="004C37F6"/>
    <w:rsid w:val="004C388D"/>
    <w:rsid w:val="004C38FE"/>
    <w:rsid w:val="004C3EC3"/>
    <w:rsid w:val="004C4232"/>
    <w:rsid w:val="004C431C"/>
    <w:rsid w:val="004C483E"/>
    <w:rsid w:val="004C4E40"/>
    <w:rsid w:val="004C5AA6"/>
    <w:rsid w:val="004C606E"/>
    <w:rsid w:val="004C6694"/>
    <w:rsid w:val="004C6849"/>
    <w:rsid w:val="004C7697"/>
    <w:rsid w:val="004C7B17"/>
    <w:rsid w:val="004D0CC4"/>
    <w:rsid w:val="004D155C"/>
    <w:rsid w:val="004D1605"/>
    <w:rsid w:val="004D1733"/>
    <w:rsid w:val="004D3B84"/>
    <w:rsid w:val="004D463B"/>
    <w:rsid w:val="004D5526"/>
    <w:rsid w:val="004D5DA0"/>
    <w:rsid w:val="004D6528"/>
    <w:rsid w:val="004D6BE7"/>
    <w:rsid w:val="004D6BFE"/>
    <w:rsid w:val="004E08D9"/>
    <w:rsid w:val="004E0AEA"/>
    <w:rsid w:val="004E275D"/>
    <w:rsid w:val="004E41AA"/>
    <w:rsid w:val="004E54EF"/>
    <w:rsid w:val="004E5507"/>
    <w:rsid w:val="004E5A12"/>
    <w:rsid w:val="004E5E1D"/>
    <w:rsid w:val="004E69A6"/>
    <w:rsid w:val="004E74FF"/>
    <w:rsid w:val="004F035B"/>
    <w:rsid w:val="004F0F6C"/>
    <w:rsid w:val="004F2A06"/>
    <w:rsid w:val="004F2DBE"/>
    <w:rsid w:val="004F31D8"/>
    <w:rsid w:val="004F4215"/>
    <w:rsid w:val="004F441F"/>
    <w:rsid w:val="004F49F8"/>
    <w:rsid w:val="004F4B65"/>
    <w:rsid w:val="004F4F02"/>
    <w:rsid w:val="004F53A7"/>
    <w:rsid w:val="004F586C"/>
    <w:rsid w:val="004F5A26"/>
    <w:rsid w:val="004F5A2F"/>
    <w:rsid w:val="004F5DBF"/>
    <w:rsid w:val="004F604B"/>
    <w:rsid w:val="004F64B3"/>
    <w:rsid w:val="004F76B8"/>
    <w:rsid w:val="005003A5"/>
    <w:rsid w:val="00500DD5"/>
    <w:rsid w:val="00500F38"/>
    <w:rsid w:val="00500F5C"/>
    <w:rsid w:val="00501137"/>
    <w:rsid w:val="0050230A"/>
    <w:rsid w:val="00502F45"/>
    <w:rsid w:val="0050317E"/>
    <w:rsid w:val="00503529"/>
    <w:rsid w:val="00503CA3"/>
    <w:rsid w:val="005049B1"/>
    <w:rsid w:val="00505474"/>
    <w:rsid w:val="00505541"/>
    <w:rsid w:val="00505DAA"/>
    <w:rsid w:val="00505FF8"/>
    <w:rsid w:val="005060AC"/>
    <w:rsid w:val="00506C6E"/>
    <w:rsid w:val="00506FE4"/>
    <w:rsid w:val="00507338"/>
    <w:rsid w:val="00507BE7"/>
    <w:rsid w:val="00510398"/>
    <w:rsid w:val="005107F3"/>
    <w:rsid w:val="00511130"/>
    <w:rsid w:val="00511379"/>
    <w:rsid w:val="00511498"/>
    <w:rsid w:val="00511856"/>
    <w:rsid w:val="00511C69"/>
    <w:rsid w:val="00511F42"/>
    <w:rsid w:val="0051322E"/>
    <w:rsid w:val="005133DA"/>
    <w:rsid w:val="00514062"/>
    <w:rsid w:val="00514422"/>
    <w:rsid w:val="00514723"/>
    <w:rsid w:val="0051490C"/>
    <w:rsid w:val="00514B13"/>
    <w:rsid w:val="00515168"/>
    <w:rsid w:val="00515649"/>
    <w:rsid w:val="005156F4"/>
    <w:rsid w:val="00515BE9"/>
    <w:rsid w:val="00516375"/>
    <w:rsid w:val="005171F0"/>
    <w:rsid w:val="0052043D"/>
    <w:rsid w:val="00520BBD"/>
    <w:rsid w:val="00520F02"/>
    <w:rsid w:val="00521E1B"/>
    <w:rsid w:val="00522146"/>
    <w:rsid w:val="00522B98"/>
    <w:rsid w:val="00523F8A"/>
    <w:rsid w:val="0052415B"/>
    <w:rsid w:val="0052553F"/>
    <w:rsid w:val="005255CB"/>
    <w:rsid w:val="005258C5"/>
    <w:rsid w:val="00525C8C"/>
    <w:rsid w:val="00525EF3"/>
    <w:rsid w:val="005261B9"/>
    <w:rsid w:val="00526ED8"/>
    <w:rsid w:val="005273AE"/>
    <w:rsid w:val="005301E4"/>
    <w:rsid w:val="0053038E"/>
    <w:rsid w:val="00530432"/>
    <w:rsid w:val="0053085F"/>
    <w:rsid w:val="00530A18"/>
    <w:rsid w:val="00530C07"/>
    <w:rsid w:val="00531530"/>
    <w:rsid w:val="00531E19"/>
    <w:rsid w:val="00531F4B"/>
    <w:rsid w:val="00532111"/>
    <w:rsid w:val="005322BD"/>
    <w:rsid w:val="00532A5B"/>
    <w:rsid w:val="00532A72"/>
    <w:rsid w:val="00532ECD"/>
    <w:rsid w:val="005332F0"/>
    <w:rsid w:val="005334F9"/>
    <w:rsid w:val="00533905"/>
    <w:rsid w:val="0053399D"/>
    <w:rsid w:val="00533A21"/>
    <w:rsid w:val="005353AF"/>
    <w:rsid w:val="005353CE"/>
    <w:rsid w:val="005355F0"/>
    <w:rsid w:val="00536BFF"/>
    <w:rsid w:val="00536D97"/>
    <w:rsid w:val="00537436"/>
    <w:rsid w:val="00537900"/>
    <w:rsid w:val="00537BE2"/>
    <w:rsid w:val="00540579"/>
    <w:rsid w:val="00541696"/>
    <w:rsid w:val="00541A6C"/>
    <w:rsid w:val="0054213F"/>
    <w:rsid w:val="00543442"/>
    <w:rsid w:val="0054346B"/>
    <w:rsid w:val="00543ECB"/>
    <w:rsid w:val="00544151"/>
    <w:rsid w:val="005442FE"/>
    <w:rsid w:val="0054443B"/>
    <w:rsid w:val="0054450B"/>
    <w:rsid w:val="0054487F"/>
    <w:rsid w:val="00544CAB"/>
    <w:rsid w:val="0054513C"/>
    <w:rsid w:val="00545571"/>
    <w:rsid w:val="005469EA"/>
    <w:rsid w:val="00547BA5"/>
    <w:rsid w:val="00547C55"/>
    <w:rsid w:val="00547CC9"/>
    <w:rsid w:val="00550237"/>
    <w:rsid w:val="005505DB"/>
    <w:rsid w:val="00551103"/>
    <w:rsid w:val="005515AA"/>
    <w:rsid w:val="00551E7A"/>
    <w:rsid w:val="005528D9"/>
    <w:rsid w:val="005528FB"/>
    <w:rsid w:val="00552937"/>
    <w:rsid w:val="0055297C"/>
    <w:rsid w:val="0055469B"/>
    <w:rsid w:val="00554CC5"/>
    <w:rsid w:val="00554CD1"/>
    <w:rsid w:val="0055506A"/>
    <w:rsid w:val="00555253"/>
    <w:rsid w:val="00555B3F"/>
    <w:rsid w:val="00555CB5"/>
    <w:rsid w:val="005601FD"/>
    <w:rsid w:val="005606B6"/>
    <w:rsid w:val="00561158"/>
    <w:rsid w:val="00561281"/>
    <w:rsid w:val="005613F9"/>
    <w:rsid w:val="00561630"/>
    <w:rsid w:val="00561DBD"/>
    <w:rsid w:val="00562C25"/>
    <w:rsid w:val="00562DC0"/>
    <w:rsid w:val="00563E44"/>
    <w:rsid w:val="005655B9"/>
    <w:rsid w:val="00565B5F"/>
    <w:rsid w:val="00565F93"/>
    <w:rsid w:val="00566415"/>
    <w:rsid w:val="00566919"/>
    <w:rsid w:val="00566A5D"/>
    <w:rsid w:val="00566A6C"/>
    <w:rsid w:val="00566D88"/>
    <w:rsid w:val="00567FB6"/>
    <w:rsid w:val="00570765"/>
    <w:rsid w:val="005717B2"/>
    <w:rsid w:val="0057222A"/>
    <w:rsid w:val="005723DE"/>
    <w:rsid w:val="005725E7"/>
    <w:rsid w:val="005727C7"/>
    <w:rsid w:val="0057375A"/>
    <w:rsid w:val="00573E90"/>
    <w:rsid w:val="00575386"/>
    <w:rsid w:val="005763BF"/>
    <w:rsid w:val="00576E42"/>
    <w:rsid w:val="00576EE4"/>
    <w:rsid w:val="005771B2"/>
    <w:rsid w:val="00577211"/>
    <w:rsid w:val="00577A37"/>
    <w:rsid w:val="005800DE"/>
    <w:rsid w:val="00580AB2"/>
    <w:rsid w:val="00581683"/>
    <w:rsid w:val="00581748"/>
    <w:rsid w:val="00581A3F"/>
    <w:rsid w:val="0058261D"/>
    <w:rsid w:val="00582B6A"/>
    <w:rsid w:val="00582C0B"/>
    <w:rsid w:val="00582CF1"/>
    <w:rsid w:val="0058378D"/>
    <w:rsid w:val="0058393E"/>
    <w:rsid w:val="00583A37"/>
    <w:rsid w:val="00584695"/>
    <w:rsid w:val="00584A21"/>
    <w:rsid w:val="00584A7A"/>
    <w:rsid w:val="00585170"/>
    <w:rsid w:val="00585333"/>
    <w:rsid w:val="00585364"/>
    <w:rsid w:val="00585D6E"/>
    <w:rsid w:val="00586054"/>
    <w:rsid w:val="005867B9"/>
    <w:rsid w:val="00586FBC"/>
    <w:rsid w:val="0058733C"/>
    <w:rsid w:val="00587E32"/>
    <w:rsid w:val="0059055E"/>
    <w:rsid w:val="005909E8"/>
    <w:rsid w:val="00590A4E"/>
    <w:rsid w:val="005914F6"/>
    <w:rsid w:val="00591805"/>
    <w:rsid w:val="00592435"/>
    <w:rsid w:val="00592B50"/>
    <w:rsid w:val="00592C64"/>
    <w:rsid w:val="0059408D"/>
    <w:rsid w:val="005945D8"/>
    <w:rsid w:val="00594FCF"/>
    <w:rsid w:val="00596DE8"/>
    <w:rsid w:val="00597852"/>
    <w:rsid w:val="005A0494"/>
    <w:rsid w:val="005A04F7"/>
    <w:rsid w:val="005A07A3"/>
    <w:rsid w:val="005A0C02"/>
    <w:rsid w:val="005A127A"/>
    <w:rsid w:val="005A18E1"/>
    <w:rsid w:val="005A2AC8"/>
    <w:rsid w:val="005A346A"/>
    <w:rsid w:val="005A3542"/>
    <w:rsid w:val="005A3932"/>
    <w:rsid w:val="005A3BA7"/>
    <w:rsid w:val="005A51F2"/>
    <w:rsid w:val="005A523C"/>
    <w:rsid w:val="005A5D6D"/>
    <w:rsid w:val="005A6A07"/>
    <w:rsid w:val="005A7834"/>
    <w:rsid w:val="005A7A0F"/>
    <w:rsid w:val="005B00D5"/>
    <w:rsid w:val="005B090E"/>
    <w:rsid w:val="005B1CDE"/>
    <w:rsid w:val="005B1EDB"/>
    <w:rsid w:val="005B23BA"/>
    <w:rsid w:val="005B23DA"/>
    <w:rsid w:val="005B2F08"/>
    <w:rsid w:val="005B5497"/>
    <w:rsid w:val="005B5561"/>
    <w:rsid w:val="005B5739"/>
    <w:rsid w:val="005B59AB"/>
    <w:rsid w:val="005B5C2E"/>
    <w:rsid w:val="005B64FC"/>
    <w:rsid w:val="005B6F5F"/>
    <w:rsid w:val="005B73D3"/>
    <w:rsid w:val="005B7647"/>
    <w:rsid w:val="005B7EBC"/>
    <w:rsid w:val="005C060E"/>
    <w:rsid w:val="005C0793"/>
    <w:rsid w:val="005C0B17"/>
    <w:rsid w:val="005C10AB"/>
    <w:rsid w:val="005C1195"/>
    <w:rsid w:val="005C16AC"/>
    <w:rsid w:val="005C1DFD"/>
    <w:rsid w:val="005C29FE"/>
    <w:rsid w:val="005C2CF9"/>
    <w:rsid w:val="005C2FDB"/>
    <w:rsid w:val="005C3895"/>
    <w:rsid w:val="005C40CE"/>
    <w:rsid w:val="005C4618"/>
    <w:rsid w:val="005C4A0B"/>
    <w:rsid w:val="005C55B9"/>
    <w:rsid w:val="005C7C42"/>
    <w:rsid w:val="005D0429"/>
    <w:rsid w:val="005D0754"/>
    <w:rsid w:val="005D0D39"/>
    <w:rsid w:val="005D147B"/>
    <w:rsid w:val="005D1AF2"/>
    <w:rsid w:val="005D2184"/>
    <w:rsid w:val="005D2598"/>
    <w:rsid w:val="005D2C23"/>
    <w:rsid w:val="005D2FF1"/>
    <w:rsid w:val="005D353F"/>
    <w:rsid w:val="005D3BBF"/>
    <w:rsid w:val="005D491C"/>
    <w:rsid w:val="005D501A"/>
    <w:rsid w:val="005D5B10"/>
    <w:rsid w:val="005D6635"/>
    <w:rsid w:val="005D68C6"/>
    <w:rsid w:val="005D7B44"/>
    <w:rsid w:val="005E06C0"/>
    <w:rsid w:val="005E11D8"/>
    <w:rsid w:val="005E14B3"/>
    <w:rsid w:val="005E2237"/>
    <w:rsid w:val="005E2BD2"/>
    <w:rsid w:val="005E3019"/>
    <w:rsid w:val="005E45A2"/>
    <w:rsid w:val="005E4B58"/>
    <w:rsid w:val="005E5CBD"/>
    <w:rsid w:val="005E64AA"/>
    <w:rsid w:val="005E669C"/>
    <w:rsid w:val="005E6A26"/>
    <w:rsid w:val="005E6F43"/>
    <w:rsid w:val="005E6FB5"/>
    <w:rsid w:val="005E70FB"/>
    <w:rsid w:val="005E7545"/>
    <w:rsid w:val="005E77BF"/>
    <w:rsid w:val="005E78B7"/>
    <w:rsid w:val="005F09FE"/>
    <w:rsid w:val="005F11BB"/>
    <w:rsid w:val="005F14FA"/>
    <w:rsid w:val="005F1935"/>
    <w:rsid w:val="005F3E12"/>
    <w:rsid w:val="005F3EBC"/>
    <w:rsid w:val="005F5032"/>
    <w:rsid w:val="005F5B96"/>
    <w:rsid w:val="005F689E"/>
    <w:rsid w:val="005F6CD3"/>
    <w:rsid w:val="005F7023"/>
    <w:rsid w:val="005F75EE"/>
    <w:rsid w:val="005F784C"/>
    <w:rsid w:val="005F7BD7"/>
    <w:rsid w:val="005F7D68"/>
    <w:rsid w:val="005F7E94"/>
    <w:rsid w:val="00600A8E"/>
    <w:rsid w:val="00600D9A"/>
    <w:rsid w:val="006027A6"/>
    <w:rsid w:val="006039DC"/>
    <w:rsid w:val="00603B1E"/>
    <w:rsid w:val="00604115"/>
    <w:rsid w:val="00604319"/>
    <w:rsid w:val="006043EF"/>
    <w:rsid w:val="006044FB"/>
    <w:rsid w:val="00604996"/>
    <w:rsid w:val="00604C79"/>
    <w:rsid w:val="006061E5"/>
    <w:rsid w:val="00606F65"/>
    <w:rsid w:val="006077EE"/>
    <w:rsid w:val="00610658"/>
    <w:rsid w:val="006106A8"/>
    <w:rsid w:val="0061078A"/>
    <w:rsid w:val="00610BED"/>
    <w:rsid w:val="00612372"/>
    <w:rsid w:val="00612B78"/>
    <w:rsid w:val="006134ED"/>
    <w:rsid w:val="006139B2"/>
    <w:rsid w:val="00613D89"/>
    <w:rsid w:val="0061420E"/>
    <w:rsid w:val="00614A60"/>
    <w:rsid w:val="00615880"/>
    <w:rsid w:val="00615C27"/>
    <w:rsid w:val="00615E41"/>
    <w:rsid w:val="00616073"/>
    <w:rsid w:val="006163C9"/>
    <w:rsid w:val="00616BEC"/>
    <w:rsid w:val="00616CB2"/>
    <w:rsid w:val="00616D0F"/>
    <w:rsid w:val="00617A6B"/>
    <w:rsid w:val="00617B55"/>
    <w:rsid w:val="00617C09"/>
    <w:rsid w:val="006201C1"/>
    <w:rsid w:val="006209F7"/>
    <w:rsid w:val="00620BCD"/>
    <w:rsid w:val="00620F25"/>
    <w:rsid w:val="0062168E"/>
    <w:rsid w:val="00621A9B"/>
    <w:rsid w:val="00621DAA"/>
    <w:rsid w:val="00621E4D"/>
    <w:rsid w:val="00622094"/>
    <w:rsid w:val="00622E3E"/>
    <w:rsid w:val="00623E31"/>
    <w:rsid w:val="0062406C"/>
    <w:rsid w:val="00624B02"/>
    <w:rsid w:val="00625331"/>
    <w:rsid w:val="00626265"/>
    <w:rsid w:val="00626814"/>
    <w:rsid w:val="006272A0"/>
    <w:rsid w:val="0062759E"/>
    <w:rsid w:val="00627931"/>
    <w:rsid w:val="00630666"/>
    <w:rsid w:val="00630775"/>
    <w:rsid w:val="00630B13"/>
    <w:rsid w:val="00630D1D"/>
    <w:rsid w:val="006312F5"/>
    <w:rsid w:val="006313B4"/>
    <w:rsid w:val="0063179D"/>
    <w:rsid w:val="00631F6C"/>
    <w:rsid w:val="006325DE"/>
    <w:rsid w:val="00634DA6"/>
    <w:rsid w:val="00634FF5"/>
    <w:rsid w:val="00635BBA"/>
    <w:rsid w:val="0063609F"/>
    <w:rsid w:val="0063618D"/>
    <w:rsid w:val="006361F6"/>
    <w:rsid w:val="0063661E"/>
    <w:rsid w:val="00636865"/>
    <w:rsid w:val="006368E3"/>
    <w:rsid w:val="006369A0"/>
    <w:rsid w:val="00636BD7"/>
    <w:rsid w:val="00636C7D"/>
    <w:rsid w:val="00640019"/>
    <w:rsid w:val="00640943"/>
    <w:rsid w:val="0064128C"/>
    <w:rsid w:val="00641B01"/>
    <w:rsid w:val="006421D4"/>
    <w:rsid w:val="00643F83"/>
    <w:rsid w:val="0064404F"/>
    <w:rsid w:val="00644630"/>
    <w:rsid w:val="00644867"/>
    <w:rsid w:val="0064493E"/>
    <w:rsid w:val="00644F29"/>
    <w:rsid w:val="00645705"/>
    <w:rsid w:val="00646D71"/>
    <w:rsid w:val="006478E9"/>
    <w:rsid w:val="00647938"/>
    <w:rsid w:val="006503EF"/>
    <w:rsid w:val="00650626"/>
    <w:rsid w:val="00651502"/>
    <w:rsid w:val="00651697"/>
    <w:rsid w:val="006519DB"/>
    <w:rsid w:val="006519DD"/>
    <w:rsid w:val="00652307"/>
    <w:rsid w:val="00652CA3"/>
    <w:rsid w:val="00652CFC"/>
    <w:rsid w:val="006532B6"/>
    <w:rsid w:val="00653B0D"/>
    <w:rsid w:val="0065450D"/>
    <w:rsid w:val="006547B6"/>
    <w:rsid w:val="0065515E"/>
    <w:rsid w:val="006568EA"/>
    <w:rsid w:val="00656AF5"/>
    <w:rsid w:val="006576BA"/>
    <w:rsid w:val="0066003B"/>
    <w:rsid w:val="00660424"/>
    <w:rsid w:val="0066087F"/>
    <w:rsid w:val="00661047"/>
    <w:rsid w:val="006626D5"/>
    <w:rsid w:val="00662C63"/>
    <w:rsid w:val="006648AB"/>
    <w:rsid w:val="00664D86"/>
    <w:rsid w:val="00665362"/>
    <w:rsid w:val="006656BF"/>
    <w:rsid w:val="00665C2A"/>
    <w:rsid w:val="00665D21"/>
    <w:rsid w:val="00666070"/>
    <w:rsid w:val="00666183"/>
    <w:rsid w:val="0066724B"/>
    <w:rsid w:val="0067002E"/>
    <w:rsid w:val="006707CA"/>
    <w:rsid w:val="00670831"/>
    <w:rsid w:val="00670C43"/>
    <w:rsid w:val="00672295"/>
    <w:rsid w:val="00672AF6"/>
    <w:rsid w:val="00672F77"/>
    <w:rsid w:val="00673DF3"/>
    <w:rsid w:val="00674871"/>
    <w:rsid w:val="00674F27"/>
    <w:rsid w:val="0067543B"/>
    <w:rsid w:val="00675DBB"/>
    <w:rsid w:val="0067705D"/>
    <w:rsid w:val="0068026D"/>
    <w:rsid w:val="00680425"/>
    <w:rsid w:val="0068055A"/>
    <w:rsid w:val="0068066F"/>
    <w:rsid w:val="00680B29"/>
    <w:rsid w:val="006811E9"/>
    <w:rsid w:val="0068269F"/>
    <w:rsid w:val="0068359E"/>
    <w:rsid w:val="006838EF"/>
    <w:rsid w:val="00683A85"/>
    <w:rsid w:val="00683B74"/>
    <w:rsid w:val="00684AC5"/>
    <w:rsid w:val="00685100"/>
    <w:rsid w:val="00685347"/>
    <w:rsid w:val="00686C12"/>
    <w:rsid w:val="00686C6D"/>
    <w:rsid w:val="0069010E"/>
    <w:rsid w:val="00690198"/>
    <w:rsid w:val="006909D8"/>
    <w:rsid w:val="00691FB3"/>
    <w:rsid w:val="006920B9"/>
    <w:rsid w:val="00692366"/>
    <w:rsid w:val="00692848"/>
    <w:rsid w:val="00692954"/>
    <w:rsid w:val="0069354C"/>
    <w:rsid w:val="006939FF"/>
    <w:rsid w:val="00693DAC"/>
    <w:rsid w:val="0069442A"/>
    <w:rsid w:val="00694944"/>
    <w:rsid w:val="0069495B"/>
    <w:rsid w:val="00694CB9"/>
    <w:rsid w:val="006959EE"/>
    <w:rsid w:val="006967AC"/>
    <w:rsid w:val="00696F4F"/>
    <w:rsid w:val="00697FCE"/>
    <w:rsid w:val="006A00F2"/>
    <w:rsid w:val="006A0BED"/>
    <w:rsid w:val="006A164F"/>
    <w:rsid w:val="006A1F13"/>
    <w:rsid w:val="006A1F3A"/>
    <w:rsid w:val="006A28E3"/>
    <w:rsid w:val="006A2BA9"/>
    <w:rsid w:val="006A31ED"/>
    <w:rsid w:val="006A4C46"/>
    <w:rsid w:val="006A5254"/>
    <w:rsid w:val="006A593C"/>
    <w:rsid w:val="006A69E7"/>
    <w:rsid w:val="006A6CF6"/>
    <w:rsid w:val="006A71D1"/>
    <w:rsid w:val="006A78D9"/>
    <w:rsid w:val="006A7BB9"/>
    <w:rsid w:val="006A7F72"/>
    <w:rsid w:val="006B0A16"/>
    <w:rsid w:val="006B0A7C"/>
    <w:rsid w:val="006B20E4"/>
    <w:rsid w:val="006B2F8B"/>
    <w:rsid w:val="006B3054"/>
    <w:rsid w:val="006B3173"/>
    <w:rsid w:val="006B37C6"/>
    <w:rsid w:val="006B3F22"/>
    <w:rsid w:val="006B4545"/>
    <w:rsid w:val="006B4FD1"/>
    <w:rsid w:val="006B541B"/>
    <w:rsid w:val="006B54C0"/>
    <w:rsid w:val="006B5816"/>
    <w:rsid w:val="006B62DC"/>
    <w:rsid w:val="006B7BDD"/>
    <w:rsid w:val="006B7F65"/>
    <w:rsid w:val="006C0EA2"/>
    <w:rsid w:val="006C2205"/>
    <w:rsid w:val="006C24AC"/>
    <w:rsid w:val="006C2891"/>
    <w:rsid w:val="006C28D0"/>
    <w:rsid w:val="006C35E2"/>
    <w:rsid w:val="006C37D4"/>
    <w:rsid w:val="006C52A8"/>
    <w:rsid w:val="006C59CF"/>
    <w:rsid w:val="006C6363"/>
    <w:rsid w:val="006C6649"/>
    <w:rsid w:val="006C6697"/>
    <w:rsid w:val="006C79FA"/>
    <w:rsid w:val="006D007A"/>
    <w:rsid w:val="006D14E8"/>
    <w:rsid w:val="006D1D2A"/>
    <w:rsid w:val="006D3520"/>
    <w:rsid w:val="006D4CDB"/>
    <w:rsid w:val="006D52B7"/>
    <w:rsid w:val="006D5420"/>
    <w:rsid w:val="006D5B54"/>
    <w:rsid w:val="006D665A"/>
    <w:rsid w:val="006D7101"/>
    <w:rsid w:val="006D7184"/>
    <w:rsid w:val="006D791C"/>
    <w:rsid w:val="006E050B"/>
    <w:rsid w:val="006E0D28"/>
    <w:rsid w:val="006E145F"/>
    <w:rsid w:val="006E161E"/>
    <w:rsid w:val="006E223B"/>
    <w:rsid w:val="006E2C14"/>
    <w:rsid w:val="006E2CC4"/>
    <w:rsid w:val="006E469B"/>
    <w:rsid w:val="006E499A"/>
    <w:rsid w:val="006E5664"/>
    <w:rsid w:val="006E5FE3"/>
    <w:rsid w:val="006E6249"/>
    <w:rsid w:val="006E6C40"/>
    <w:rsid w:val="006E6E90"/>
    <w:rsid w:val="006E7DA0"/>
    <w:rsid w:val="006F0337"/>
    <w:rsid w:val="006F0B80"/>
    <w:rsid w:val="006F1F06"/>
    <w:rsid w:val="006F237D"/>
    <w:rsid w:val="006F2809"/>
    <w:rsid w:val="006F3097"/>
    <w:rsid w:val="006F30F0"/>
    <w:rsid w:val="006F3D91"/>
    <w:rsid w:val="006F4730"/>
    <w:rsid w:val="006F632D"/>
    <w:rsid w:val="006F70BA"/>
    <w:rsid w:val="007004CF"/>
    <w:rsid w:val="00700BF0"/>
    <w:rsid w:val="0070119D"/>
    <w:rsid w:val="00701FCA"/>
    <w:rsid w:val="00703A80"/>
    <w:rsid w:val="00704719"/>
    <w:rsid w:val="00704942"/>
    <w:rsid w:val="00704CBC"/>
    <w:rsid w:val="0070513D"/>
    <w:rsid w:val="00706159"/>
    <w:rsid w:val="00706822"/>
    <w:rsid w:val="00707F7C"/>
    <w:rsid w:val="00710C25"/>
    <w:rsid w:val="00710D66"/>
    <w:rsid w:val="00710EE0"/>
    <w:rsid w:val="00710FEB"/>
    <w:rsid w:val="00712012"/>
    <w:rsid w:val="00712480"/>
    <w:rsid w:val="00712EEE"/>
    <w:rsid w:val="00713954"/>
    <w:rsid w:val="00713BEC"/>
    <w:rsid w:val="00714477"/>
    <w:rsid w:val="00714B0C"/>
    <w:rsid w:val="00715705"/>
    <w:rsid w:val="0071575F"/>
    <w:rsid w:val="007168A9"/>
    <w:rsid w:val="007209B2"/>
    <w:rsid w:val="00720AB0"/>
    <w:rsid w:val="00720E5C"/>
    <w:rsid w:val="00721131"/>
    <w:rsid w:val="007212B5"/>
    <w:rsid w:val="00721738"/>
    <w:rsid w:val="00721D32"/>
    <w:rsid w:val="00721DA2"/>
    <w:rsid w:val="0072242D"/>
    <w:rsid w:val="00722C92"/>
    <w:rsid w:val="007232FB"/>
    <w:rsid w:val="00724489"/>
    <w:rsid w:val="0072456D"/>
    <w:rsid w:val="00724655"/>
    <w:rsid w:val="00725878"/>
    <w:rsid w:val="00725E89"/>
    <w:rsid w:val="00726492"/>
    <w:rsid w:val="00726ED8"/>
    <w:rsid w:val="00727787"/>
    <w:rsid w:val="00727D05"/>
    <w:rsid w:val="007303BE"/>
    <w:rsid w:val="007305BB"/>
    <w:rsid w:val="00730F33"/>
    <w:rsid w:val="007313DD"/>
    <w:rsid w:val="00731713"/>
    <w:rsid w:val="0073186C"/>
    <w:rsid w:val="00731E44"/>
    <w:rsid w:val="00733070"/>
    <w:rsid w:val="007337F7"/>
    <w:rsid w:val="00733BD0"/>
    <w:rsid w:val="0073424A"/>
    <w:rsid w:val="007346A4"/>
    <w:rsid w:val="0073476A"/>
    <w:rsid w:val="00734F99"/>
    <w:rsid w:val="007352FB"/>
    <w:rsid w:val="0073585D"/>
    <w:rsid w:val="00735A9E"/>
    <w:rsid w:val="00735BB8"/>
    <w:rsid w:val="00740083"/>
    <w:rsid w:val="00740992"/>
    <w:rsid w:val="00740B34"/>
    <w:rsid w:val="007417C2"/>
    <w:rsid w:val="0074189E"/>
    <w:rsid w:val="00741BD5"/>
    <w:rsid w:val="00742661"/>
    <w:rsid w:val="00742B6E"/>
    <w:rsid w:val="00742C9E"/>
    <w:rsid w:val="007432B9"/>
    <w:rsid w:val="00744232"/>
    <w:rsid w:val="007445BD"/>
    <w:rsid w:val="00744891"/>
    <w:rsid w:val="00745AF6"/>
    <w:rsid w:val="007462C0"/>
    <w:rsid w:val="00746C8D"/>
    <w:rsid w:val="00746E83"/>
    <w:rsid w:val="00746EE7"/>
    <w:rsid w:val="007470DF"/>
    <w:rsid w:val="00747A8D"/>
    <w:rsid w:val="00747B03"/>
    <w:rsid w:val="00747E2C"/>
    <w:rsid w:val="007501EE"/>
    <w:rsid w:val="007507FB"/>
    <w:rsid w:val="00751CBB"/>
    <w:rsid w:val="00751E16"/>
    <w:rsid w:val="00752A93"/>
    <w:rsid w:val="00753461"/>
    <w:rsid w:val="007535FC"/>
    <w:rsid w:val="00753BE6"/>
    <w:rsid w:val="007541AE"/>
    <w:rsid w:val="007554DD"/>
    <w:rsid w:val="00755FF1"/>
    <w:rsid w:val="0075639A"/>
    <w:rsid w:val="00756DB0"/>
    <w:rsid w:val="00757504"/>
    <w:rsid w:val="0075769C"/>
    <w:rsid w:val="00757938"/>
    <w:rsid w:val="00757D6B"/>
    <w:rsid w:val="00761308"/>
    <w:rsid w:val="007616DE"/>
    <w:rsid w:val="00761747"/>
    <w:rsid w:val="007618A4"/>
    <w:rsid w:val="0076314A"/>
    <w:rsid w:val="0076358E"/>
    <w:rsid w:val="00763755"/>
    <w:rsid w:val="00763D5B"/>
    <w:rsid w:val="00764254"/>
    <w:rsid w:val="0076449B"/>
    <w:rsid w:val="00764653"/>
    <w:rsid w:val="00765307"/>
    <w:rsid w:val="00765EB0"/>
    <w:rsid w:val="0076623D"/>
    <w:rsid w:val="007666CC"/>
    <w:rsid w:val="00766C2E"/>
    <w:rsid w:val="00767068"/>
    <w:rsid w:val="007673F6"/>
    <w:rsid w:val="00767B90"/>
    <w:rsid w:val="00770119"/>
    <w:rsid w:val="0077030E"/>
    <w:rsid w:val="0077091E"/>
    <w:rsid w:val="00770995"/>
    <w:rsid w:val="00771047"/>
    <w:rsid w:val="00771542"/>
    <w:rsid w:val="0077160F"/>
    <w:rsid w:val="0077161D"/>
    <w:rsid w:val="00771D1B"/>
    <w:rsid w:val="00772A5C"/>
    <w:rsid w:val="00772BF9"/>
    <w:rsid w:val="00772F7C"/>
    <w:rsid w:val="00774449"/>
    <w:rsid w:val="00774527"/>
    <w:rsid w:val="007749D5"/>
    <w:rsid w:val="0077500E"/>
    <w:rsid w:val="00775671"/>
    <w:rsid w:val="0077577F"/>
    <w:rsid w:val="00775A7F"/>
    <w:rsid w:val="00776EB3"/>
    <w:rsid w:val="00777877"/>
    <w:rsid w:val="00777E52"/>
    <w:rsid w:val="00777FB0"/>
    <w:rsid w:val="00780FED"/>
    <w:rsid w:val="007817E0"/>
    <w:rsid w:val="00782E32"/>
    <w:rsid w:val="00783CE7"/>
    <w:rsid w:val="00783D98"/>
    <w:rsid w:val="00783EC8"/>
    <w:rsid w:val="00784066"/>
    <w:rsid w:val="0078477A"/>
    <w:rsid w:val="00784AD2"/>
    <w:rsid w:val="00786621"/>
    <w:rsid w:val="007868D3"/>
    <w:rsid w:val="00786DB2"/>
    <w:rsid w:val="00787271"/>
    <w:rsid w:val="0078731F"/>
    <w:rsid w:val="007875B7"/>
    <w:rsid w:val="007901BE"/>
    <w:rsid w:val="00790650"/>
    <w:rsid w:val="007914C5"/>
    <w:rsid w:val="00792C53"/>
    <w:rsid w:val="007930E5"/>
    <w:rsid w:val="00793275"/>
    <w:rsid w:val="00794C73"/>
    <w:rsid w:val="00795297"/>
    <w:rsid w:val="007954F4"/>
    <w:rsid w:val="0079576A"/>
    <w:rsid w:val="00795F41"/>
    <w:rsid w:val="007968A9"/>
    <w:rsid w:val="00796CF1"/>
    <w:rsid w:val="00796D10"/>
    <w:rsid w:val="00797851"/>
    <w:rsid w:val="007978A6"/>
    <w:rsid w:val="00797B4A"/>
    <w:rsid w:val="007A012A"/>
    <w:rsid w:val="007A04F1"/>
    <w:rsid w:val="007A0C93"/>
    <w:rsid w:val="007A0FD4"/>
    <w:rsid w:val="007A1125"/>
    <w:rsid w:val="007A130C"/>
    <w:rsid w:val="007A31EB"/>
    <w:rsid w:val="007A3571"/>
    <w:rsid w:val="007A40B2"/>
    <w:rsid w:val="007A41C4"/>
    <w:rsid w:val="007A499E"/>
    <w:rsid w:val="007A5A7B"/>
    <w:rsid w:val="007A5F36"/>
    <w:rsid w:val="007A60DF"/>
    <w:rsid w:val="007A64CA"/>
    <w:rsid w:val="007A7BE4"/>
    <w:rsid w:val="007A7CCC"/>
    <w:rsid w:val="007A7EA5"/>
    <w:rsid w:val="007A7F44"/>
    <w:rsid w:val="007B0241"/>
    <w:rsid w:val="007B079B"/>
    <w:rsid w:val="007B07F5"/>
    <w:rsid w:val="007B08AD"/>
    <w:rsid w:val="007B13EC"/>
    <w:rsid w:val="007B17B2"/>
    <w:rsid w:val="007B1A63"/>
    <w:rsid w:val="007B25EA"/>
    <w:rsid w:val="007B2AF1"/>
    <w:rsid w:val="007B2C49"/>
    <w:rsid w:val="007B3489"/>
    <w:rsid w:val="007B383C"/>
    <w:rsid w:val="007B5148"/>
    <w:rsid w:val="007B534C"/>
    <w:rsid w:val="007B586F"/>
    <w:rsid w:val="007B5B3E"/>
    <w:rsid w:val="007B5CE9"/>
    <w:rsid w:val="007B60A9"/>
    <w:rsid w:val="007B7036"/>
    <w:rsid w:val="007B7455"/>
    <w:rsid w:val="007B76E3"/>
    <w:rsid w:val="007B7795"/>
    <w:rsid w:val="007B7D43"/>
    <w:rsid w:val="007B7E3A"/>
    <w:rsid w:val="007C01FE"/>
    <w:rsid w:val="007C0474"/>
    <w:rsid w:val="007C15DD"/>
    <w:rsid w:val="007C1636"/>
    <w:rsid w:val="007C1F04"/>
    <w:rsid w:val="007C2397"/>
    <w:rsid w:val="007C33A5"/>
    <w:rsid w:val="007C39AE"/>
    <w:rsid w:val="007C3D0C"/>
    <w:rsid w:val="007C4815"/>
    <w:rsid w:val="007C49E9"/>
    <w:rsid w:val="007C57CB"/>
    <w:rsid w:val="007C5CB2"/>
    <w:rsid w:val="007C5CFA"/>
    <w:rsid w:val="007C5ED7"/>
    <w:rsid w:val="007C60DD"/>
    <w:rsid w:val="007C659A"/>
    <w:rsid w:val="007C734A"/>
    <w:rsid w:val="007C7466"/>
    <w:rsid w:val="007C7C4A"/>
    <w:rsid w:val="007D066A"/>
    <w:rsid w:val="007D08D4"/>
    <w:rsid w:val="007D0A41"/>
    <w:rsid w:val="007D1BA3"/>
    <w:rsid w:val="007D1D08"/>
    <w:rsid w:val="007D1F0E"/>
    <w:rsid w:val="007D2335"/>
    <w:rsid w:val="007D277F"/>
    <w:rsid w:val="007D2D22"/>
    <w:rsid w:val="007D3617"/>
    <w:rsid w:val="007D3A22"/>
    <w:rsid w:val="007D3AF7"/>
    <w:rsid w:val="007D3D26"/>
    <w:rsid w:val="007D3EF9"/>
    <w:rsid w:val="007D4409"/>
    <w:rsid w:val="007D4B11"/>
    <w:rsid w:val="007D506A"/>
    <w:rsid w:val="007D5725"/>
    <w:rsid w:val="007D5A98"/>
    <w:rsid w:val="007D63BD"/>
    <w:rsid w:val="007D6B15"/>
    <w:rsid w:val="007D71D7"/>
    <w:rsid w:val="007E01F2"/>
    <w:rsid w:val="007E0773"/>
    <w:rsid w:val="007E0926"/>
    <w:rsid w:val="007E0D39"/>
    <w:rsid w:val="007E10B1"/>
    <w:rsid w:val="007E136F"/>
    <w:rsid w:val="007E1A03"/>
    <w:rsid w:val="007E1C47"/>
    <w:rsid w:val="007E25D5"/>
    <w:rsid w:val="007E3618"/>
    <w:rsid w:val="007E396A"/>
    <w:rsid w:val="007E4138"/>
    <w:rsid w:val="007E52CF"/>
    <w:rsid w:val="007E695A"/>
    <w:rsid w:val="007E6A7F"/>
    <w:rsid w:val="007F03D7"/>
    <w:rsid w:val="007F070E"/>
    <w:rsid w:val="007F13B9"/>
    <w:rsid w:val="007F3186"/>
    <w:rsid w:val="007F37C3"/>
    <w:rsid w:val="007F3BE3"/>
    <w:rsid w:val="007F3D4C"/>
    <w:rsid w:val="007F3EB4"/>
    <w:rsid w:val="007F56EA"/>
    <w:rsid w:val="007F58F1"/>
    <w:rsid w:val="007F5928"/>
    <w:rsid w:val="007F5BEE"/>
    <w:rsid w:val="007F5E70"/>
    <w:rsid w:val="007F6112"/>
    <w:rsid w:val="007F6792"/>
    <w:rsid w:val="007F6C66"/>
    <w:rsid w:val="007F6DD0"/>
    <w:rsid w:val="007F6ED4"/>
    <w:rsid w:val="007F793E"/>
    <w:rsid w:val="007F7B41"/>
    <w:rsid w:val="008006DA"/>
    <w:rsid w:val="00801ECE"/>
    <w:rsid w:val="00802EFE"/>
    <w:rsid w:val="008031E1"/>
    <w:rsid w:val="0080347F"/>
    <w:rsid w:val="0080374E"/>
    <w:rsid w:val="00803800"/>
    <w:rsid w:val="00803F36"/>
    <w:rsid w:val="00804196"/>
    <w:rsid w:val="0080494E"/>
    <w:rsid w:val="00804B56"/>
    <w:rsid w:val="00804BFB"/>
    <w:rsid w:val="008051B2"/>
    <w:rsid w:val="00805BA3"/>
    <w:rsid w:val="00805DAE"/>
    <w:rsid w:val="00805F30"/>
    <w:rsid w:val="00806113"/>
    <w:rsid w:val="00806221"/>
    <w:rsid w:val="008064E2"/>
    <w:rsid w:val="00806E17"/>
    <w:rsid w:val="00807601"/>
    <w:rsid w:val="00807C0D"/>
    <w:rsid w:val="008102CD"/>
    <w:rsid w:val="0081034B"/>
    <w:rsid w:val="00810AAA"/>
    <w:rsid w:val="00810DFB"/>
    <w:rsid w:val="008116EA"/>
    <w:rsid w:val="0081177A"/>
    <w:rsid w:val="0081187F"/>
    <w:rsid w:val="00811B2F"/>
    <w:rsid w:val="00812021"/>
    <w:rsid w:val="00812719"/>
    <w:rsid w:val="008131B8"/>
    <w:rsid w:val="00813F6E"/>
    <w:rsid w:val="008146EF"/>
    <w:rsid w:val="00814846"/>
    <w:rsid w:val="00814953"/>
    <w:rsid w:val="00814C24"/>
    <w:rsid w:val="00814C79"/>
    <w:rsid w:val="0081513B"/>
    <w:rsid w:val="00816C54"/>
    <w:rsid w:val="00817164"/>
    <w:rsid w:val="00820231"/>
    <w:rsid w:val="00820B69"/>
    <w:rsid w:val="00820E07"/>
    <w:rsid w:val="00820F42"/>
    <w:rsid w:val="00820F8E"/>
    <w:rsid w:val="008213B4"/>
    <w:rsid w:val="008215BF"/>
    <w:rsid w:val="00821C6F"/>
    <w:rsid w:val="00821E7D"/>
    <w:rsid w:val="00822560"/>
    <w:rsid w:val="00822626"/>
    <w:rsid w:val="0082313A"/>
    <w:rsid w:val="00823203"/>
    <w:rsid w:val="008232CA"/>
    <w:rsid w:val="008235F5"/>
    <w:rsid w:val="008237EA"/>
    <w:rsid w:val="00824A72"/>
    <w:rsid w:val="008252FC"/>
    <w:rsid w:val="008253E7"/>
    <w:rsid w:val="0082546B"/>
    <w:rsid w:val="00825862"/>
    <w:rsid w:val="00825AA8"/>
    <w:rsid w:val="00825F71"/>
    <w:rsid w:val="00827837"/>
    <w:rsid w:val="00827A0A"/>
    <w:rsid w:val="00827EB2"/>
    <w:rsid w:val="008300E4"/>
    <w:rsid w:val="00831695"/>
    <w:rsid w:val="00831D10"/>
    <w:rsid w:val="00831E5F"/>
    <w:rsid w:val="00832246"/>
    <w:rsid w:val="00832EAC"/>
    <w:rsid w:val="00833390"/>
    <w:rsid w:val="00833628"/>
    <w:rsid w:val="008345AC"/>
    <w:rsid w:val="00834854"/>
    <w:rsid w:val="00834E49"/>
    <w:rsid w:val="008358C3"/>
    <w:rsid w:val="00836ABF"/>
    <w:rsid w:val="00837284"/>
    <w:rsid w:val="00837400"/>
    <w:rsid w:val="00837BB3"/>
    <w:rsid w:val="00837E63"/>
    <w:rsid w:val="0084000D"/>
    <w:rsid w:val="00840037"/>
    <w:rsid w:val="00840629"/>
    <w:rsid w:val="0084068B"/>
    <w:rsid w:val="00841AFA"/>
    <w:rsid w:val="00842CEA"/>
    <w:rsid w:val="00842FDF"/>
    <w:rsid w:val="0084302B"/>
    <w:rsid w:val="00843126"/>
    <w:rsid w:val="008433A3"/>
    <w:rsid w:val="008436DC"/>
    <w:rsid w:val="00843D42"/>
    <w:rsid w:val="00844AB0"/>
    <w:rsid w:val="00844EC4"/>
    <w:rsid w:val="0084542F"/>
    <w:rsid w:val="00845AD6"/>
    <w:rsid w:val="00845AEC"/>
    <w:rsid w:val="00846158"/>
    <w:rsid w:val="0084620F"/>
    <w:rsid w:val="00846BCC"/>
    <w:rsid w:val="00846FE5"/>
    <w:rsid w:val="008474C3"/>
    <w:rsid w:val="00847A51"/>
    <w:rsid w:val="0085096F"/>
    <w:rsid w:val="0085270C"/>
    <w:rsid w:val="0085313E"/>
    <w:rsid w:val="00854848"/>
    <w:rsid w:val="00854994"/>
    <w:rsid w:val="00854997"/>
    <w:rsid w:val="0085506D"/>
    <w:rsid w:val="008559CA"/>
    <w:rsid w:val="00856160"/>
    <w:rsid w:val="00856440"/>
    <w:rsid w:val="008564C1"/>
    <w:rsid w:val="00856752"/>
    <w:rsid w:val="00856F1C"/>
    <w:rsid w:val="00860A5B"/>
    <w:rsid w:val="008610BB"/>
    <w:rsid w:val="008614E7"/>
    <w:rsid w:val="0086198D"/>
    <w:rsid w:val="00862783"/>
    <w:rsid w:val="008627A8"/>
    <w:rsid w:val="00864152"/>
    <w:rsid w:val="008647B1"/>
    <w:rsid w:val="008649B5"/>
    <w:rsid w:val="00864A06"/>
    <w:rsid w:val="00864E21"/>
    <w:rsid w:val="0086566B"/>
    <w:rsid w:val="00865CD8"/>
    <w:rsid w:val="00866836"/>
    <w:rsid w:val="00867B82"/>
    <w:rsid w:val="00867D25"/>
    <w:rsid w:val="00867F0D"/>
    <w:rsid w:val="00871587"/>
    <w:rsid w:val="00871B3E"/>
    <w:rsid w:val="00871D37"/>
    <w:rsid w:val="00872FBB"/>
    <w:rsid w:val="0087301F"/>
    <w:rsid w:val="00873170"/>
    <w:rsid w:val="008731D4"/>
    <w:rsid w:val="008732F5"/>
    <w:rsid w:val="00873D0D"/>
    <w:rsid w:val="00874556"/>
    <w:rsid w:val="00874562"/>
    <w:rsid w:val="00874591"/>
    <w:rsid w:val="00875295"/>
    <w:rsid w:val="008765BC"/>
    <w:rsid w:val="008768A7"/>
    <w:rsid w:val="00876FFF"/>
    <w:rsid w:val="0087700A"/>
    <w:rsid w:val="00877374"/>
    <w:rsid w:val="008774C7"/>
    <w:rsid w:val="00877667"/>
    <w:rsid w:val="00880ED7"/>
    <w:rsid w:val="00881434"/>
    <w:rsid w:val="00881E54"/>
    <w:rsid w:val="008835E7"/>
    <w:rsid w:val="008836A2"/>
    <w:rsid w:val="00883B47"/>
    <w:rsid w:val="00883E26"/>
    <w:rsid w:val="0088421C"/>
    <w:rsid w:val="008845E9"/>
    <w:rsid w:val="008860DC"/>
    <w:rsid w:val="008861C7"/>
    <w:rsid w:val="008877D6"/>
    <w:rsid w:val="00887898"/>
    <w:rsid w:val="0089019E"/>
    <w:rsid w:val="00890504"/>
    <w:rsid w:val="00890B3E"/>
    <w:rsid w:val="00890D5C"/>
    <w:rsid w:val="0089173F"/>
    <w:rsid w:val="00891D8B"/>
    <w:rsid w:val="008924E8"/>
    <w:rsid w:val="0089319C"/>
    <w:rsid w:val="0089358A"/>
    <w:rsid w:val="00894072"/>
    <w:rsid w:val="008944A1"/>
    <w:rsid w:val="008945AF"/>
    <w:rsid w:val="00894C8F"/>
    <w:rsid w:val="00895801"/>
    <w:rsid w:val="0089689C"/>
    <w:rsid w:val="00897429"/>
    <w:rsid w:val="00897BC5"/>
    <w:rsid w:val="008A0081"/>
    <w:rsid w:val="008A065A"/>
    <w:rsid w:val="008A07B5"/>
    <w:rsid w:val="008A09B9"/>
    <w:rsid w:val="008A16D1"/>
    <w:rsid w:val="008A1D19"/>
    <w:rsid w:val="008A1D53"/>
    <w:rsid w:val="008A293E"/>
    <w:rsid w:val="008A3D8D"/>
    <w:rsid w:val="008A4C3C"/>
    <w:rsid w:val="008A5410"/>
    <w:rsid w:val="008A64E7"/>
    <w:rsid w:val="008A65F5"/>
    <w:rsid w:val="008A6F85"/>
    <w:rsid w:val="008A76BA"/>
    <w:rsid w:val="008A7B38"/>
    <w:rsid w:val="008A7B6F"/>
    <w:rsid w:val="008B0C15"/>
    <w:rsid w:val="008B1243"/>
    <w:rsid w:val="008B1AB7"/>
    <w:rsid w:val="008B2EEC"/>
    <w:rsid w:val="008B3AF4"/>
    <w:rsid w:val="008B43B5"/>
    <w:rsid w:val="008B5BDA"/>
    <w:rsid w:val="008B6393"/>
    <w:rsid w:val="008B6ABF"/>
    <w:rsid w:val="008B6B2A"/>
    <w:rsid w:val="008B6EF0"/>
    <w:rsid w:val="008B701D"/>
    <w:rsid w:val="008B7430"/>
    <w:rsid w:val="008B75BC"/>
    <w:rsid w:val="008C0005"/>
    <w:rsid w:val="008C041C"/>
    <w:rsid w:val="008C0A28"/>
    <w:rsid w:val="008C0B5E"/>
    <w:rsid w:val="008C1124"/>
    <w:rsid w:val="008C131F"/>
    <w:rsid w:val="008C1F69"/>
    <w:rsid w:val="008C2627"/>
    <w:rsid w:val="008C26F0"/>
    <w:rsid w:val="008C344B"/>
    <w:rsid w:val="008C419F"/>
    <w:rsid w:val="008C5009"/>
    <w:rsid w:val="008C5229"/>
    <w:rsid w:val="008C6A8C"/>
    <w:rsid w:val="008C6C08"/>
    <w:rsid w:val="008C6D65"/>
    <w:rsid w:val="008C7C55"/>
    <w:rsid w:val="008D02D9"/>
    <w:rsid w:val="008D0581"/>
    <w:rsid w:val="008D0B6B"/>
    <w:rsid w:val="008D0BB3"/>
    <w:rsid w:val="008D0F9B"/>
    <w:rsid w:val="008D11BF"/>
    <w:rsid w:val="008D1352"/>
    <w:rsid w:val="008D19C3"/>
    <w:rsid w:val="008D1C0C"/>
    <w:rsid w:val="008D3691"/>
    <w:rsid w:val="008D3B41"/>
    <w:rsid w:val="008D4354"/>
    <w:rsid w:val="008D46F4"/>
    <w:rsid w:val="008D4914"/>
    <w:rsid w:val="008D4A7A"/>
    <w:rsid w:val="008D58E0"/>
    <w:rsid w:val="008D6E74"/>
    <w:rsid w:val="008D78ED"/>
    <w:rsid w:val="008D7C73"/>
    <w:rsid w:val="008E08DB"/>
    <w:rsid w:val="008E0A59"/>
    <w:rsid w:val="008E1515"/>
    <w:rsid w:val="008E18F3"/>
    <w:rsid w:val="008E1D62"/>
    <w:rsid w:val="008E1EF5"/>
    <w:rsid w:val="008E1F39"/>
    <w:rsid w:val="008E20CB"/>
    <w:rsid w:val="008E232D"/>
    <w:rsid w:val="008E2363"/>
    <w:rsid w:val="008E237A"/>
    <w:rsid w:val="008E32E0"/>
    <w:rsid w:val="008E355C"/>
    <w:rsid w:val="008E3787"/>
    <w:rsid w:val="008E3CF5"/>
    <w:rsid w:val="008E4D02"/>
    <w:rsid w:val="008E54A8"/>
    <w:rsid w:val="008E589C"/>
    <w:rsid w:val="008E59BF"/>
    <w:rsid w:val="008E6216"/>
    <w:rsid w:val="008E66D2"/>
    <w:rsid w:val="008E7046"/>
    <w:rsid w:val="008E7E60"/>
    <w:rsid w:val="008E7F76"/>
    <w:rsid w:val="008F1026"/>
    <w:rsid w:val="008F10FB"/>
    <w:rsid w:val="008F1464"/>
    <w:rsid w:val="008F1B1A"/>
    <w:rsid w:val="008F3261"/>
    <w:rsid w:val="008F376A"/>
    <w:rsid w:val="008F45B8"/>
    <w:rsid w:val="008F4AEB"/>
    <w:rsid w:val="008F4D60"/>
    <w:rsid w:val="008F6297"/>
    <w:rsid w:val="008F6395"/>
    <w:rsid w:val="008F6A6F"/>
    <w:rsid w:val="008F6AE2"/>
    <w:rsid w:val="00900A2F"/>
    <w:rsid w:val="00900B0C"/>
    <w:rsid w:val="00900D4C"/>
    <w:rsid w:val="00901260"/>
    <w:rsid w:val="009013C5"/>
    <w:rsid w:val="009016BB"/>
    <w:rsid w:val="0090202C"/>
    <w:rsid w:val="009020CC"/>
    <w:rsid w:val="00902216"/>
    <w:rsid w:val="009023B9"/>
    <w:rsid w:val="00902B43"/>
    <w:rsid w:val="009031B6"/>
    <w:rsid w:val="0090550B"/>
    <w:rsid w:val="009055B7"/>
    <w:rsid w:val="00905A54"/>
    <w:rsid w:val="00905AD4"/>
    <w:rsid w:val="00905B1C"/>
    <w:rsid w:val="00906761"/>
    <w:rsid w:val="009071D1"/>
    <w:rsid w:val="009075AC"/>
    <w:rsid w:val="0090785E"/>
    <w:rsid w:val="00907F35"/>
    <w:rsid w:val="0091060D"/>
    <w:rsid w:val="00910D67"/>
    <w:rsid w:val="009114A8"/>
    <w:rsid w:val="00911B8E"/>
    <w:rsid w:val="00911CBD"/>
    <w:rsid w:val="00911F05"/>
    <w:rsid w:val="00912492"/>
    <w:rsid w:val="0091255C"/>
    <w:rsid w:val="00912894"/>
    <w:rsid w:val="00912C7E"/>
    <w:rsid w:val="00912FAB"/>
    <w:rsid w:val="009131A1"/>
    <w:rsid w:val="009136CE"/>
    <w:rsid w:val="0091500A"/>
    <w:rsid w:val="00916035"/>
    <w:rsid w:val="009161B7"/>
    <w:rsid w:val="009175A4"/>
    <w:rsid w:val="00920963"/>
    <w:rsid w:val="0092101F"/>
    <w:rsid w:val="00921CD4"/>
    <w:rsid w:val="00921D0F"/>
    <w:rsid w:val="00921F36"/>
    <w:rsid w:val="009229CC"/>
    <w:rsid w:val="0092352F"/>
    <w:rsid w:val="00923CEB"/>
    <w:rsid w:val="00924069"/>
    <w:rsid w:val="0092475F"/>
    <w:rsid w:val="00924A14"/>
    <w:rsid w:val="00924A82"/>
    <w:rsid w:val="00924EFA"/>
    <w:rsid w:val="00924F61"/>
    <w:rsid w:val="00925438"/>
    <w:rsid w:val="00926727"/>
    <w:rsid w:val="00927300"/>
    <w:rsid w:val="009276D2"/>
    <w:rsid w:val="00927960"/>
    <w:rsid w:val="00930091"/>
    <w:rsid w:val="0093056B"/>
    <w:rsid w:val="00930667"/>
    <w:rsid w:val="009306C2"/>
    <w:rsid w:val="009307D0"/>
    <w:rsid w:val="00930ED2"/>
    <w:rsid w:val="00931F71"/>
    <w:rsid w:val="009320E5"/>
    <w:rsid w:val="0093274F"/>
    <w:rsid w:val="00933383"/>
    <w:rsid w:val="009333B7"/>
    <w:rsid w:val="00933974"/>
    <w:rsid w:val="009339E1"/>
    <w:rsid w:val="00933AE5"/>
    <w:rsid w:val="00933B24"/>
    <w:rsid w:val="00933D8C"/>
    <w:rsid w:val="00934404"/>
    <w:rsid w:val="00934C65"/>
    <w:rsid w:val="0093503A"/>
    <w:rsid w:val="00935F1B"/>
    <w:rsid w:val="00936005"/>
    <w:rsid w:val="00936109"/>
    <w:rsid w:val="00936C1E"/>
    <w:rsid w:val="0094036B"/>
    <w:rsid w:val="00940A93"/>
    <w:rsid w:val="00940DF5"/>
    <w:rsid w:val="00941A8A"/>
    <w:rsid w:val="00941E10"/>
    <w:rsid w:val="00941E84"/>
    <w:rsid w:val="00941ECA"/>
    <w:rsid w:val="009427CE"/>
    <w:rsid w:val="00942BB7"/>
    <w:rsid w:val="00944077"/>
    <w:rsid w:val="009441DB"/>
    <w:rsid w:val="00944BC0"/>
    <w:rsid w:val="00945060"/>
    <w:rsid w:val="00945D52"/>
    <w:rsid w:val="00946638"/>
    <w:rsid w:val="009466C8"/>
    <w:rsid w:val="00946FBD"/>
    <w:rsid w:val="0095007D"/>
    <w:rsid w:val="00950637"/>
    <w:rsid w:val="009510EA"/>
    <w:rsid w:val="009513F1"/>
    <w:rsid w:val="009515AA"/>
    <w:rsid w:val="00951BC1"/>
    <w:rsid w:val="0095250E"/>
    <w:rsid w:val="00953391"/>
    <w:rsid w:val="00953979"/>
    <w:rsid w:val="009546BD"/>
    <w:rsid w:val="0095486A"/>
    <w:rsid w:val="009549C4"/>
    <w:rsid w:val="00954D77"/>
    <w:rsid w:val="00955097"/>
    <w:rsid w:val="00957943"/>
    <w:rsid w:val="0096034B"/>
    <w:rsid w:val="00960B44"/>
    <w:rsid w:val="009616C2"/>
    <w:rsid w:val="00961835"/>
    <w:rsid w:val="00962323"/>
    <w:rsid w:val="00963454"/>
    <w:rsid w:val="009635B2"/>
    <w:rsid w:val="0096383D"/>
    <w:rsid w:val="009638E0"/>
    <w:rsid w:val="00964107"/>
    <w:rsid w:val="00964374"/>
    <w:rsid w:val="00964427"/>
    <w:rsid w:val="0096443F"/>
    <w:rsid w:val="00964FE3"/>
    <w:rsid w:val="00965357"/>
    <w:rsid w:val="0096544D"/>
    <w:rsid w:val="00965B22"/>
    <w:rsid w:val="00965FD9"/>
    <w:rsid w:val="00966518"/>
    <w:rsid w:val="009667BB"/>
    <w:rsid w:val="009673A0"/>
    <w:rsid w:val="00967962"/>
    <w:rsid w:val="00970057"/>
    <w:rsid w:val="00970242"/>
    <w:rsid w:val="00970937"/>
    <w:rsid w:val="00970CDE"/>
    <w:rsid w:val="0097147C"/>
    <w:rsid w:val="0097147F"/>
    <w:rsid w:val="009714F5"/>
    <w:rsid w:val="00971781"/>
    <w:rsid w:val="00971A2C"/>
    <w:rsid w:val="009724E2"/>
    <w:rsid w:val="0097383B"/>
    <w:rsid w:val="009738A7"/>
    <w:rsid w:val="00973CDD"/>
    <w:rsid w:val="00973EA5"/>
    <w:rsid w:val="0097494D"/>
    <w:rsid w:val="00974AF4"/>
    <w:rsid w:val="00975388"/>
    <w:rsid w:val="009756F0"/>
    <w:rsid w:val="00975FE6"/>
    <w:rsid w:val="00976EB6"/>
    <w:rsid w:val="0097770F"/>
    <w:rsid w:val="00980123"/>
    <w:rsid w:val="00980212"/>
    <w:rsid w:val="00980241"/>
    <w:rsid w:val="00980413"/>
    <w:rsid w:val="0098064B"/>
    <w:rsid w:val="009812B6"/>
    <w:rsid w:val="00981E5A"/>
    <w:rsid w:val="00982017"/>
    <w:rsid w:val="00982443"/>
    <w:rsid w:val="00982764"/>
    <w:rsid w:val="00983CF3"/>
    <w:rsid w:val="0098430D"/>
    <w:rsid w:val="009846BD"/>
    <w:rsid w:val="009853EB"/>
    <w:rsid w:val="00987A2A"/>
    <w:rsid w:val="00987BF7"/>
    <w:rsid w:val="00987EAA"/>
    <w:rsid w:val="009901BB"/>
    <w:rsid w:val="0099150E"/>
    <w:rsid w:val="009915D9"/>
    <w:rsid w:val="0099169C"/>
    <w:rsid w:val="00993792"/>
    <w:rsid w:val="0099426A"/>
    <w:rsid w:val="009947DA"/>
    <w:rsid w:val="00994CC5"/>
    <w:rsid w:val="00994F85"/>
    <w:rsid w:val="00995BFF"/>
    <w:rsid w:val="00995D96"/>
    <w:rsid w:val="00996B53"/>
    <w:rsid w:val="00997BF1"/>
    <w:rsid w:val="009A0117"/>
    <w:rsid w:val="009A0910"/>
    <w:rsid w:val="009A0DB3"/>
    <w:rsid w:val="009A108F"/>
    <w:rsid w:val="009A14F3"/>
    <w:rsid w:val="009A1B54"/>
    <w:rsid w:val="009A24BC"/>
    <w:rsid w:val="009A5176"/>
    <w:rsid w:val="009A59E2"/>
    <w:rsid w:val="009A59E5"/>
    <w:rsid w:val="009A5A5E"/>
    <w:rsid w:val="009A5C19"/>
    <w:rsid w:val="009A6695"/>
    <w:rsid w:val="009A66A6"/>
    <w:rsid w:val="009A68FB"/>
    <w:rsid w:val="009A6C65"/>
    <w:rsid w:val="009A727B"/>
    <w:rsid w:val="009A7331"/>
    <w:rsid w:val="009A765D"/>
    <w:rsid w:val="009B0173"/>
    <w:rsid w:val="009B0383"/>
    <w:rsid w:val="009B0756"/>
    <w:rsid w:val="009B08D9"/>
    <w:rsid w:val="009B1C82"/>
    <w:rsid w:val="009B2335"/>
    <w:rsid w:val="009B2508"/>
    <w:rsid w:val="009B285C"/>
    <w:rsid w:val="009B2E34"/>
    <w:rsid w:val="009B4BAD"/>
    <w:rsid w:val="009B50E8"/>
    <w:rsid w:val="009B55EE"/>
    <w:rsid w:val="009B5EE0"/>
    <w:rsid w:val="009B62E6"/>
    <w:rsid w:val="009B6B4F"/>
    <w:rsid w:val="009B6F6E"/>
    <w:rsid w:val="009B7C43"/>
    <w:rsid w:val="009B7C64"/>
    <w:rsid w:val="009B7F4F"/>
    <w:rsid w:val="009C0179"/>
    <w:rsid w:val="009C0927"/>
    <w:rsid w:val="009C0D63"/>
    <w:rsid w:val="009C1314"/>
    <w:rsid w:val="009C1869"/>
    <w:rsid w:val="009C2356"/>
    <w:rsid w:val="009C269D"/>
    <w:rsid w:val="009C28D1"/>
    <w:rsid w:val="009C3571"/>
    <w:rsid w:val="009C48E2"/>
    <w:rsid w:val="009C521C"/>
    <w:rsid w:val="009C5365"/>
    <w:rsid w:val="009C55B5"/>
    <w:rsid w:val="009C5609"/>
    <w:rsid w:val="009C6D74"/>
    <w:rsid w:val="009C748A"/>
    <w:rsid w:val="009C761B"/>
    <w:rsid w:val="009D039A"/>
    <w:rsid w:val="009D0886"/>
    <w:rsid w:val="009D0D8B"/>
    <w:rsid w:val="009D11D5"/>
    <w:rsid w:val="009D26EA"/>
    <w:rsid w:val="009D28AB"/>
    <w:rsid w:val="009D2EDD"/>
    <w:rsid w:val="009D341F"/>
    <w:rsid w:val="009D39CD"/>
    <w:rsid w:val="009D3C3E"/>
    <w:rsid w:val="009D3C9B"/>
    <w:rsid w:val="009D3F04"/>
    <w:rsid w:val="009D400F"/>
    <w:rsid w:val="009D403B"/>
    <w:rsid w:val="009D64F6"/>
    <w:rsid w:val="009D664E"/>
    <w:rsid w:val="009D6B76"/>
    <w:rsid w:val="009D7A44"/>
    <w:rsid w:val="009E0003"/>
    <w:rsid w:val="009E0640"/>
    <w:rsid w:val="009E10E9"/>
    <w:rsid w:val="009E189E"/>
    <w:rsid w:val="009E1D27"/>
    <w:rsid w:val="009E2272"/>
    <w:rsid w:val="009E236C"/>
    <w:rsid w:val="009E263D"/>
    <w:rsid w:val="009E328E"/>
    <w:rsid w:val="009E348B"/>
    <w:rsid w:val="009E34C4"/>
    <w:rsid w:val="009E3908"/>
    <w:rsid w:val="009E3A9A"/>
    <w:rsid w:val="009E4013"/>
    <w:rsid w:val="009E4082"/>
    <w:rsid w:val="009E40AB"/>
    <w:rsid w:val="009E48F9"/>
    <w:rsid w:val="009E5B48"/>
    <w:rsid w:val="009E5C59"/>
    <w:rsid w:val="009E6415"/>
    <w:rsid w:val="009E6425"/>
    <w:rsid w:val="009E64E8"/>
    <w:rsid w:val="009E758E"/>
    <w:rsid w:val="009E7C8C"/>
    <w:rsid w:val="009E7F7F"/>
    <w:rsid w:val="009F014E"/>
    <w:rsid w:val="009F03F9"/>
    <w:rsid w:val="009F04A5"/>
    <w:rsid w:val="009F09C5"/>
    <w:rsid w:val="009F1179"/>
    <w:rsid w:val="009F19AA"/>
    <w:rsid w:val="009F20C0"/>
    <w:rsid w:val="009F21BD"/>
    <w:rsid w:val="009F2438"/>
    <w:rsid w:val="009F2B89"/>
    <w:rsid w:val="009F2DCE"/>
    <w:rsid w:val="009F349B"/>
    <w:rsid w:val="009F3952"/>
    <w:rsid w:val="009F3D0C"/>
    <w:rsid w:val="009F499B"/>
    <w:rsid w:val="009F49B2"/>
    <w:rsid w:val="009F4DD5"/>
    <w:rsid w:val="009F56E8"/>
    <w:rsid w:val="009F657C"/>
    <w:rsid w:val="009F6B2B"/>
    <w:rsid w:val="009F7C2D"/>
    <w:rsid w:val="009F7CC2"/>
    <w:rsid w:val="009F7D13"/>
    <w:rsid w:val="00A00509"/>
    <w:rsid w:val="00A00A04"/>
    <w:rsid w:val="00A01C5B"/>
    <w:rsid w:val="00A01F7C"/>
    <w:rsid w:val="00A01FAA"/>
    <w:rsid w:val="00A0200C"/>
    <w:rsid w:val="00A023D2"/>
    <w:rsid w:val="00A03102"/>
    <w:rsid w:val="00A0325D"/>
    <w:rsid w:val="00A03AE1"/>
    <w:rsid w:val="00A03DEE"/>
    <w:rsid w:val="00A041DF"/>
    <w:rsid w:val="00A04887"/>
    <w:rsid w:val="00A04CD3"/>
    <w:rsid w:val="00A05109"/>
    <w:rsid w:val="00A05576"/>
    <w:rsid w:val="00A072EA"/>
    <w:rsid w:val="00A07618"/>
    <w:rsid w:val="00A07F3F"/>
    <w:rsid w:val="00A10682"/>
    <w:rsid w:val="00A1135A"/>
    <w:rsid w:val="00A1200F"/>
    <w:rsid w:val="00A12CD4"/>
    <w:rsid w:val="00A12EE3"/>
    <w:rsid w:val="00A13E29"/>
    <w:rsid w:val="00A13E98"/>
    <w:rsid w:val="00A1419E"/>
    <w:rsid w:val="00A14728"/>
    <w:rsid w:val="00A14D6C"/>
    <w:rsid w:val="00A1500E"/>
    <w:rsid w:val="00A1539D"/>
    <w:rsid w:val="00A16D4E"/>
    <w:rsid w:val="00A16F3A"/>
    <w:rsid w:val="00A17E19"/>
    <w:rsid w:val="00A203E2"/>
    <w:rsid w:val="00A20621"/>
    <w:rsid w:val="00A208D2"/>
    <w:rsid w:val="00A20DC9"/>
    <w:rsid w:val="00A21528"/>
    <w:rsid w:val="00A21C9C"/>
    <w:rsid w:val="00A21CA2"/>
    <w:rsid w:val="00A21F7B"/>
    <w:rsid w:val="00A21FCC"/>
    <w:rsid w:val="00A22227"/>
    <w:rsid w:val="00A23E51"/>
    <w:rsid w:val="00A2424F"/>
    <w:rsid w:val="00A2434B"/>
    <w:rsid w:val="00A24772"/>
    <w:rsid w:val="00A24790"/>
    <w:rsid w:val="00A249AD"/>
    <w:rsid w:val="00A251A4"/>
    <w:rsid w:val="00A25439"/>
    <w:rsid w:val="00A25974"/>
    <w:rsid w:val="00A264D4"/>
    <w:rsid w:val="00A2654F"/>
    <w:rsid w:val="00A26A28"/>
    <w:rsid w:val="00A26B9C"/>
    <w:rsid w:val="00A26EED"/>
    <w:rsid w:val="00A2720C"/>
    <w:rsid w:val="00A275D4"/>
    <w:rsid w:val="00A27735"/>
    <w:rsid w:val="00A30003"/>
    <w:rsid w:val="00A30563"/>
    <w:rsid w:val="00A30706"/>
    <w:rsid w:val="00A30E6D"/>
    <w:rsid w:val="00A3170E"/>
    <w:rsid w:val="00A318B8"/>
    <w:rsid w:val="00A31E99"/>
    <w:rsid w:val="00A321CE"/>
    <w:rsid w:val="00A32378"/>
    <w:rsid w:val="00A32AB6"/>
    <w:rsid w:val="00A3395C"/>
    <w:rsid w:val="00A34AFB"/>
    <w:rsid w:val="00A34B3F"/>
    <w:rsid w:val="00A35014"/>
    <w:rsid w:val="00A3536F"/>
    <w:rsid w:val="00A35CC9"/>
    <w:rsid w:val="00A35CF6"/>
    <w:rsid w:val="00A376F4"/>
    <w:rsid w:val="00A3789D"/>
    <w:rsid w:val="00A379BE"/>
    <w:rsid w:val="00A411B8"/>
    <w:rsid w:val="00A414B2"/>
    <w:rsid w:val="00A41804"/>
    <w:rsid w:val="00A41873"/>
    <w:rsid w:val="00A41F27"/>
    <w:rsid w:val="00A423D6"/>
    <w:rsid w:val="00A42929"/>
    <w:rsid w:val="00A42C14"/>
    <w:rsid w:val="00A42FBA"/>
    <w:rsid w:val="00A43ECF"/>
    <w:rsid w:val="00A4439C"/>
    <w:rsid w:val="00A44B64"/>
    <w:rsid w:val="00A46AFC"/>
    <w:rsid w:val="00A473E2"/>
    <w:rsid w:val="00A4760A"/>
    <w:rsid w:val="00A477F1"/>
    <w:rsid w:val="00A47AD6"/>
    <w:rsid w:val="00A510E5"/>
    <w:rsid w:val="00A511E3"/>
    <w:rsid w:val="00A51A06"/>
    <w:rsid w:val="00A524A0"/>
    <w:rsid w:val="00A5258B"/>
    <w:rsid w:val="00A5275B"/>
    <w:rsid w:val="00A52D6A"/>
    <w:rsid w:val="00A52F17"/>
    <w:rsid w:val="00A53002"/>
    <w:rsid w:val="00A53116"/>
    <w:rsid w:val="00A536EF"/>
    <w:rsid w:val="00A53E31"/>
    <w:rsid w:val="00A54FCC"/>
    <w:rsid w:val="00A55B17"/>
    <w:rsid w:val="00A55E68"/>
    <w:rsid w:val="00A5642D"/>
    <w:rsid w:val="00A56FFE"/>
    <w:rsid w:val="00A571EF"/>
    <w:rsid w:val="00A575A1"/>
    <w:rsid w:val="00A576DF"/>
    <w:rsid w:val="00A578B1"/>
    <w:rsid w:val="00A57BF5"/>
    <w:rsid w:val="00A600D3"/>
    <w:rsid w:val="00A60683"/>
    <w:rsid w:val="00A6084F"/>
    <w:rsid w:val="00A608CC"/>
    <w:rsid w:val="00A62096"/>
    <w:rsid w:val="00A62137"/>
    <w:rsid w:val="00A62860"/>
    <w:rsid w:val="00A63A15"/>
    <w:rsid w:val="00A6404A"/>
    <w:rsid w:val="00A6534F"/>
    <w:rsid w:val="00A655E1"/>
    <w:rsid w:val="00A65F11"/>
    <w:rsid w:val="00A6602C"/>
    <w:rsid w:val="00A6608C"/>
    <w:rsid w:val="00A665E1"/>
    <w:rsid w:val="00A666DA"/>
    <w:rsid w:val="00A6673E"/>
    <w:rsid w:val="00A669A2"/>
    <w:rsid w:val="00A67359"/>
    <w:rsid w:val="00A70572"/>
    <w:rsid w:val="00A7093C"/>
    <w:rsid w:val="00A71C7B"/>
    <w:rsid w:val="00A71D71"/>
    <w:rsid w:val="00A72E09"/>
    <w:rsid w:val="00A73A20"/>
    <w:rsid w:val="00A73CC7"/>
    <w:rsid w:val="00A74087"/>
    <w:rsid w:val="00A75A8A"/>
    <w:rsid w:val="00A75F0E"/>
    <w:rsid w:val="00A76269"/>
    <w:rsid w:val="00A763FF"/>
    <w:rsid w:val="00A76F53"/>
    <w:rsid w:val="00A771E5"/>
    <w:rsid w:val="00A80475"/>
    <w:rsid w:val="00A805C7"/>
    <w:rsid w:val="00A80905"/>
    <w:rsid w:val="00A80E64"/>
    <w:rsid w:val="00A83087"/>
    <w:rsid w:val="00A8342E"/>
    <w:rsid w:val="00A842AF"/>
    <w:rsid w:val="00A84954"/>
    <w:rsid w:val="00A84EF9"/>
    <w:rsid w:val="00A8540A"/>
    <w:rsid w:val="00A86201"/>
    <w:rsid w:val="00A87EC5"/>
    <w:rsid w:val="00A90CE7"/>
    <w:rsid w:val="00A90D82"/>
    <w:rsid w:val="00A91BB2"/>
    <w:rsid w:val="00A91DC1"/>
    <w:rsid w:val="00A92705"/>
    <w:rsid w:val="00A92CDA"/>
    <w:rsid w:val="00A9350A"/>
    <w:rsid w:val="00A93BC6"/>
    <w:rsid w:val="00A94363"/>
    <w:rsid w:val="00A94684"/>
    <w:rsid w:val="00A957A0"/>
    <w:rsid w:val="00A95CC0"/>
    <w:rsid w:val="00A95CE5"/>
    <w:rsid w:val="00A96150"/>
    <w:rsid w:val="00A974B8"/>
    <w:rsid w:val="00A9798A"/>
    <w:rsid w:val="00A97B46"/>
    <w:rsid w:val="00AA02F9"/>
    <w:rsid w:val="00AA052D"/>
    <w:rsid w:val="00AA06E0"/>
    <w:rsid w:val="00AA0D33"/>
    <w:rsid w:val="00AA0E41"/>
    <w:rsid w:val="00AA11A1"/>
    <w:rsid w:val="00AA160D"/>
    <w:rsid w:val="00AA28BF"/>
    <w:rsid w:val="00AA3328"/>
    <w:rsid w:val="00AA34DB"/>
    <w:rsid w:val="00AA3607"/>
    <w:rsid w:val="00AA3E0E"/>
    <w:rsid w:val="00AA5263"/>
    <w:rsid w:val="00AA53CB"/>
    <w:rsid w:val="00AA712B"/>
    <w:rsid w:val="00AA766D"/>
    <w:rsid w:val="00AB0054"/>
    <w:rsid w:val="00AB064E"/>
    <w:rsid w:val="00AB130D"/>
    <w:rsid w:val="00AB2405"/>
    <w:rsid w:val="00AB2AC9"/>
    <w:rsid w:val="00AB2B95"/>
    <w:rsid w:val="00AB3528"/>
    <w:rsid w:val="00AB378B"/>
    <w:rsid w:val="00AB3A50"/>
    <w:rsid w:val="00AB3C54"/>
    <w:rsid w:val="00AB47B4"/>
    <w:rsid w:val="00AB47BC"/>
    <w:rsid w:val="00AB4E4B"/>
    <w:rsid w:val="00AB75CD"/>
    <w:rsid w:val="00AB7774"/>
    <w:rsid w:val="00AB7788"/>
    <w:rsid w:val="00AB7D7C"/>
    <w:rsid w:val="00AC142F"/>
    <w:rsid w:val="00AC18B9"/>
    <w:rsid w:val="00AC1F53"/>
    <w:rsid w:val="00AC20BD"/>
    <w:rsid w:val="00AC23AC"/>
    <w:rsid w:val="00AC285F"/>
    <w:rsid w:val="00AC2F41"/>
    <w:rsid w:val="00AC337F"/>
    <w:rsid w:val="00AC3AA4"/>
    <w:rsid w:val="00AC3DAE"/>
    <w:rsid w:val="00AC43EB"/>
    <w:rsid w:val="00AC456A"/>
    <w:rsid w:val="00AC4AD7"/>
    <w:rsid w:val="00AC4F95"/>
    <w:rsid w:val="00AC4FDE"/>
    <w:rsid w:val="00AC541C"/>
    <w:rsid w:val="00AC5913"/>
    <w:rsid w:val="00AC6312"/>
    <w:rsid w:val="00AC64F1"/>
    <w:rsid w:val="00AC68C0"/>
    <w:rsid w:val="00AC68F2"/>
    <w:rsid w:val="00AC6D6C"/>
    <w:rsid w:val="00AC72BA"/>
    <w:rsid w:val="00AC75AE"/>
    <w:rsid w:val="00AD0510"/>
    <w:rsid w:val="00AD0AFE"/>
    <w:rsid w:val="00AD1A2F"/>
    <w:rsid w:val="00AD1B32"/>
    <w:rsid w:val="00AD380C"/>
    <w:rsid w:val="00AD3A51"/>
    <w:rsid w:val="00AD447B"/>
    <w:rsid w:val="00AD4CC5"/>
    <w:rsid w:val="00AD5311"/>
    <w:rsid w:val="00AD54D2"/>
    <w:rsid w:val="00AD562C"/>
    <w:rsid w:val="00AD6D76"/>
    <w:rsid w:val="00AD755B"/>
    <w:rsid w:val="00AD7598"/>
    <w:rsid w:val="00AD762B"/>
    <w:rsid w:val="00AE0650"/>
    <w:rsid w:val="00AE069D"/>
    <w:rsid w:val="00AE06FD"/>
    <w:rsid w:val="00AE0ACC"/>
    <w:rsid w:val="00AE0C83"/>
    <w:rsid w:val="00AE144D"/>
    <w:rsid w:val="00AE18CC"/>
    <w:rsid w:val="00AE299A"/>
    <w:rsid w:val="00AE5975"/>
    <w:rsid w:val="00AE5CA1"/>
    <w:rsid w:val="00AE61EA"/>
    <w:rsid w:val="00AE647E"/>
    <w:rsid w:val="00AE6698"/>
    <w:rsid w:val="00AE7237"/>
    <w:rsid w:val="00AE72FA"/>
    <w:rsid w:val="00AE749E"/>
    <w:rsid w:val="00AE77CF"/>
    <w:rsid w:val="00AE7ACE"/>
    <w:rsid w:val="00AF0FE2"/>
    <w:rsid w:val="00AF1517"/>
    <w:rsid w:val="00AF1536"/>
    <w:rsid w:val="00AF22FB"/>
    <w:rsid w:val="00AF2E4A"/>
    <w:rsid w:val="00AF381E"/>
    <w:rsid w:val="00AF4012"/>
    <w:rsid w:val="00AF478E"/>
    <w:rsid w:val="00AF49FB"/>
    <w:rsid w:val="00AF5531"/>
    <w:rsid w:val="00AF5A25"/>
    <w:rsid w:val="00AF5BE0"/>
    <w:rsid w:val="00AF5DC3"/>
    <w:rsid w:val="00AF62AC"/>
    <w:rsid w:val="00AF6382"/>
    <w:rsid w:val="00AF670E"/>
    <w:rsid w:val="00AF68F8"/>
    <w:rsid w:val="00AF7B4D"/>
    <w:rsid w:val="00B005CD"/>
    <w:rsid w:val="00B00731"/>
    <w:rsid w:val="00B01A43"/>
    <w:rsid w:val="00B01CE1"/>
    <w:rsid w:val="00B02312"/>
    <w:rsid w:val="00B02488"/>
    <w:rsid w:val="00B02B26"/>
    <w:rsid w:val="00B03438"/>
    <w:rsid w:val="00B036DE"/>
    <w:rsid w:val="00B0461F"/>
    <w:rsid w:val="00B0500A"/>
    <w:rsid w:val="00B05699"/>
    <w:rsid w:val="00B05BCB"/>
    <w:rsid w:val="00B063A3"/>
    <w:rsid w:val="00B06549"/>
    <w:rsid w:val="00B06A71"/>
    <w:rsid w:val="00B07FA5"/>
    <w:rsid w:val="00B10582"/>
    <w:rsid w:val="00B110CD"/>
    <w:rsid w:val="00B110E0"/>
    <w:rsid w:val="00B11112"/>
    <w:rsid w:val="00B1111A"/>
    <w:rsid w:val="00B137B8"/>
    <w:rsid w:val="00B1388F"/>
    <w:rsid w:val="00B1410E"/>
    <w:rsid w:val="00B14883"/>
    <w:rsid w:val="00B150BD"/>
    <w:rsid w:val="00B154B9"/>
    <w:rsid w:val="00B15C30"/>
    <w:rsid w:val="00B16160"/>
    <w:rsid w:val="00B1713E"/>
    <w:rsid w:val="00B17F9F"/>
    <w:rsid w:val="00B21B61"/>
    <w:rsid w:val="00B22270"/>
    <w:rsid w:val="00B227B9"/>
    <w:rsid w:val="00B22AC6"/>
    <w:rsid w:val="00B22ECB"/>
    <w:rsid w:val="00B22FFB"/>
    <w:rsid w:val="00B2315C"/>
    <w:rsid w:val="00B23591"/>
    <w:rsid w:val="00B23810"/>
    <w:rsid w:val="00B23CAA"/>
    <w:rsid w:val="00B23E67"/>
    <w:rsid w:val="00B240DD"/>
    <w:rsid w:val="00B242C6"/>
    <w:rsid w:val="00B24370"/>
    <w:rsid w:val="00B25446"/>
    <w:rsid w:val="00B2587B"/>
    <w:rsid w:val="00B258AC"/>
    <w:rsid w:val="00B25944"/>
    <w:rsid w:val="00B26C2F"/>
    <w:rsid w:val="00B26FDA"/>
    <w:rsid w:val="00B279FF"/>
    <w:rsid w:val="00B31631"/>
    <w:rsid w:val="00B324F6"/>
    <w:rsid w:val="00B32662"/>
    <w:rsid w:val="00B3284D"/>
    <w:rsid w:val="00B32EF0"/>
    <w:rsid w:val="00B3331A"/>
    <w:rsid w:val="00B33656"/>
    <w:rsid w:val="00B33675"/>
    <w:rsid w:val="00B34462"/>
    <w:rsid w:val="00B34FAF"/>
    <w:rsid w:val="00B358FC"/>
    <w:rsid w:val="00B35B81"/>
    <w:rsid w:val="00B35E37"/>
    <w:rsid w:val="00B35E94"/>
    <w:rsid w:val="00B36491"/>
    <w:rsid w:val="00B36608"/>
    <w:rsid w:val="00B36901"/>
    <w:rsid w:val="00B36A27"/>
    <w:rsid w:val="00B3788D"/>
    <w:rsid w:val="00B37CA1"/>
    <w:rsid w:val="00B4150B"/>
    <w:rsid w:val="00B4263E"/>
    <w:rsid w:val="00B42993"/>
    <w:rsid w:val="00B439CE"/>
    <w:rsid w:val="00B43A75"/>
    <w:rsid w:val="00B43D3E"/>
    <w:rsid w:val="00B44522"/>
    <w:rsid w:val="00B45E1C"/>
    <w:rsid w:val="00B463F1"/>
    <w:rsid w:val="00B4669A"/>
    <w:rsid w:val="00B46FFA"/>
    <w:rsid w:val="00B4742F"/>
    <w:rsid w:val="00B47928"/>
    <w:rsid w:val="00B47F17"/>
    <w:rsid w:val="00B50028"/>
    <w:rsid w:val="00B50EB2"/>
    <w:rsid w:val="00B50ED9"/>
    <w:rsid w:val="00B520E0"/>
    <w:rsid w:val="00B52184"/>
    <w:rsid w:val="00B5257F"/>
    <w:rsid w:val="00B5269F"/>
    <w:rsid w:val="00B527D5"/>
    <w:rsid w:val="00B52810"/>
    <w:rsid w:val="00B52C1B"/>
    <w:rsid w:val="00B52C35"/>
    <w:rsid w:val="00B52DE9"/>
    <w:rsid w:val="00B532CD"/>
    <w:rsid w:val="00B5387A"/>
    <w:rsid w:val="00B5391D"/>
    <w:rsid w:val="00B53B17"/>
    <w:rsid w:val="00B53CA8"/>
    <w:rsid w:val="00B53EB6"/>
    <w:rsid w:val="00B543DD"/>
    <w:rsid w:val="00B54C09"/>
    <w:rsid w:val="00B559BB"/>
    <w:rsid w:val="00B5626E"/>
    <w:rsid w:val="00B56B4D"/>
    <w:rsid w:val="00B60826"/>
    <w:rsid w:val="00B61FC3"/>
    <w:rsid w:val="00B626F8"/>
    <w:rsid w:val="00B62ABA"/>
    <w:rsid w:val="00B63A7B"/>
    <w:rsid w:val="00B64A8A"/>
    <w:rsid w:val="00B64B36"/>
    <w:rsid w:val="00B65B23"/>
    <w:rsid w:val="00B65DD8"/>
    <w:rsid w:val="00B66632"/>
    <w:rsid w:val="00B6675B"/>
    <w:rsid w:val="00B67968"/>
    <w:rsid w:val="00B679A8"/>
    <w:rsid w:val="00B70B0A"/>
    <w:rsid w:val="00B7190E"/>
    <w:rsid w:val="00B71F15"/>
    <w:rsid w:val="00B72C8F"/>
    <w:rsid w:val="00B73EED"/>
    <w:rsid w:val="00B75054"/>
    <w:rsid w:val="00B75789"/>
    <w:rsid w:val="00B76468"/>
    <w:rsid w:val="00B76697"/>
    <w:rsid w:val="00B76EBB"/>
    <w:rsid w:val="00B770AB"/>
    <w:rsid w:val="00B773B4"/>
    <w:rsid w:val="00B7773A"/>
    <w:rsid w:val="00B77C38"/>
    <w:rsid w:val="00B77EFE"/>
    <w:rsid w:val="00B80D31"/>
    <w:rsid w:val="00B814E6"/>
    <w:rsid w:val="00B82081"/>
    <w:rsid w:val="00B82C3E"/>
    <w:rsid w:val="00B83E48"/>
    <w:rsid w:val="00B83F80"/>
    <w:rsid w:val="00B8453B"/>
    <w:rsid w:val="00B84C4C"/>
    <w:rsid w:val="00B84D91"/>
    <w:rsid w:val="00B8510B"/>
    <w:rsid w:val="00B85520"/>
    <w:rsid w:val="00B8560C"/>
    <w:rsid w:val="00B85886"/>
    <w:rsid w:val="00B85B59"/>
    <w:rsid w:val="00B86FFD"/>
    <w:rsid w:val="00B87165"/>
    <w:rsid w:val="00B878A9"/>
    <w:rsid w:val="00B878C0"/>
    <w:rsid w:val="00B87D5D"/>
    <w:rsid w:val="00B903B2"/>
    <w:rsid w:val="00B90A3E"/>
    <w:rsid w:val="00B91D59"/>
    <w:rsid w:val="00B92762"/>
    <w:rsid w:val="00B927F7"/>
    <w:rsid w:val="00B92C98"/>
    <w:rsid w:val="00B92F80"/>
    <w:rsid w:val="00B92FFD"/>
    <w:rsid w:val="00B9493E"/>
    <w:rsid w:val="00B95861"/>
    <w:rsid w:val="00B95D5D"/>
    <w:rsid w:val="00B96122"/>
    <w:rsid w:val="00B9667A"/>
    <w:rsid w:val="00B9685F"/>
    <w:rsid w:val="00B96A49"/>
    <w:rsid w:val="00B9778B"/>
    <w:rsid w:val="00BA039F"/>
    <w:rsid w:val="00BA03A3"/>
    <w:rsid w:val="00BA056A"/>
    <w:rsid w:val="00BA08DA"/>
    <w:rsid w:val="00BA08F3"/>
    <w:rsid w:val="00BA0C03"/>
    <w:rsid w:val="00BA1259"/>
    <w:rsid w:val="00BA1E2C"/>
    <w:rsid w:val="00BA21E9"/>
    <w:rsid w:val="00BA2348"/>
    <w:rsid w:val="00BA341E"/>
    <w:rsid w:val="00BA37F0"/>
    <w:rsid w:val="00BA3B03"/>
    <w:rsid w:val="00BA4252"/>
    <w:rsid w:val="00BA45BE"/>
    <w:rsid w:val="00BA4636"/>
    <w:rsid w:val="00BA4863"/>
    <w:rsid w:val="00BA4B61"/>
    <w:rsid w:val="00BA56E9"/>
    <w:rsid w:val="00BA5D0C"/>
    <w:rsid w:val="00BA6446"/>
    <w:rsid w:val="00BA6F9A"/>
    <w:rsid w:val="00BA7D99"/>
    <w:rsid w:val="00BB0967"/>
    <w:rsid w:val="00BB220E"/>
    <w:rsid w:val="00BB24A5"/>
    <w:rsid w:val="00BB31D0"/>
    <w:rsid w:val="00BB322B"/>
    <w:rsid w:val="00BB397F"/>
    <w:rsid w:val="00BB3C68"/>
    <w:rsid w:val="00BB44FB"/>
    <w:rsid w:val="00BB475B"/>
    <w:rsid w:val="00BB4887"/>
    <w:rsid w:val="00BB6882"/>
    <w:rsid w:val="00BB7593"/>
    <w:rsid w:val="00BB7DA8"/>
    <w:rsid w:val="00BC02BE"/>
    <w:rsid w:val="00BC073D"/>
    <w:rsid w:val="00BC104A"/>
    <w:rsid w:val="00BC11B9"/>
    <w:rsid w:val="00BC18F7"/>
    <w:rsid w:val="00BC1A1D"/>
    <w:rsid w:val="00BC2224"/>
    <w:rsid w:val="00BC239A"/>
    <w:rsid w:val="00BC351B"/>
    <w:rsid w:val="00BC36C6"/>
    <w:rsid w:val="00BC38B7"/>
    <w:rsid w:val="00BC3B9F"/>
    <w:rsid w:val="00BC3DD2"/>
    <w:rsid w:val="00BC557A"/>
    <w:rsid w:val="00BC5917"/>
    <w:rsid w:val="00BC7182"/>
    <w:rsid w:val="00BC7896"/>
    <w:rsid w:val="00BC7EE6"/>
    <w:rsid w:val="00BD03D9"/>
    <w:rsid w:val="00BD0596"/>
    <w:rsid w:val="00BD16D9"/>
    <w:rsid w:val="00BD30AF"/>
    <w:rsid w:val="00BD3BE8"/>
    <w:rsid w:val="00BD4024"/>
    <w:rsid w:val="00BD4065"/>
    <w:rsid w:val="00BD42D3"/>
    <w:rsid w:val="00BD4419"/>
    <w:rsid w:val="00BD4C4A"/>
    <w:rsid w:val="00BD50B0"/>
    <w:rsid w:val="00BD5A28"/>
    <w:rsid w:val="00BD5C42"/>
    <w:rsid w:val="00BD5EFC"/>
    <w:rsid w:val="00BD6A98"/>
    <w:rsid w:val="00BD6B51"/>
    <w:rsid w:val="00BD741B"/>
    <w:rsid w:val="00BD772B"/>
    <w:rsid w:val="00BD78B3"/>
    <w:rsid w:val="00BD7B3B"/>
    <w:rsid w:val="00BD7EFF"/>
    <w:rsid w:val="00BE032F"/>
    <w:rsid w:val="00BE0B93"/>
    <w:rsid w:val="00BE17CC"/>
    <w:rsid w:val="00BE1EA3"/>
    <w:rsid w:val="00BE2776"/>
    <w:rsid w:val="00BE2DB9"/>
    <w:rsid w:val="00BE432C"/>
    <w:rsid w:val="00BE4A91"/>
    <w:rsid w:val="00BE51F6"/>
    <w:rsid w:val="00BE5332"/>
    <w:rsid w:val="00BE5DA4"/>
    <w:rsid w:val="00BE5F37"/>
    <w:rsid w:val="00BE6192"/>
    <w:rsid w:val="00BE6AE1"/>
    <w:rsid w:val="00BE6F94"/>
    <w:rsid w:val="00BE70E1"/>
    <w:rsid w:val="00BE74F9"/>
    <w:rsid w:val="00BF0014"/>
    <w:rsid w:val="00BF06B7"/>
    <w:rsid w:val="00BF06FE"/>
    <w:rsid w:val="00BF07C1"/>
    <w:rsid w:val="00BF0BC5"/>
    <w:rsid w:val="00BF1771"/>
    <w:rsid w:val="00BF18DF"/>
    <w:rsid w:val="00BF2958"/>
    <w:rsid w:val="00BF2C53"/>
    <w:rsid w:val="00BF31C4"/>
    <w:rsid w:val="00BF33AC"/>
    <w:rsid w:val="00BF38BD"/>
    <w:rsid w:val="00BF3A73"/>
    <w:rsid w:val="00BF3B11"/>
    <w:rsid w:val="00BF3BFD"/>
    <w:rsid w:val="00BF3E77"/>
    <w:rsid w:val="00BF3FFB"/>
    <w:rsid w:val="00BF4601"/>
    <w:rsid w:val="00BF4860"/>
    <w:rsid w:val="00BF4B88"/>
    <w:rsid w:val="00BF4CE5"/>
    <w:rsid w:val="00BF521D"/>
    <w:rsid w:val="00BF610A"/>
    <w:rsid w:val="00BF6CBF"/>
    <w:rsid w:val="00BF6E05"/>
    <w:rsid w:val="00BF7C5A"/>
    <w:rsid w:val="00C004CE"/>
    <w:rsid w:val="00C00B42"/>
    <w:rsid w:val="00C00DA0"/>
    <w:rsid w:val="00C01079"/>
    <w:rsid w:val="00C0184E"/>
    <w:rsid w:val="00C019C4"/>
    <w:rsid w:val="00C0257C"/>
    <w:rsid w:val="00C02CDF"/>
    <w:rsid w:val="00C03042"/>
    <w:rsid w:val="00C03476"/>
    <w:rsid w:val="00C03E35"/>
    <w:rsid w:val="00C042D3"/>
    <w:rsid w:val="00C04D65"/>
    <w:rsid w:val="00C04DD4"/>
    <w:rsid w:val="00C0553A"/>
    <w:rsid w:val="00C05A1C"/>
    <w:rsid w:val="00C05F31"/>
    <w:rsid w:val="00C062ED"/>
    <w:rsid w:val="00C06A8E"/>
    <w:rsid w:val="00C0747A"/>
    <w:rsid w:val="00C075DF"/>
    <w:rsid w:val="00C07AEA"/>
    <w:rsid w:val="00C10373"/>
    <w:rsid w:val="00C10535"/>
    <w:rsid w:val="00C10A63"/>
    <w:rsid w:val="00C10CCA"/>
    <w:rsid w:val="00C11E17"/>
    <w:rsid w:val="00C12BB3"/>
    <w:rsid w:val="00C13212"/>
    <w:rsid w:val="00C13303"/>
    <w:rsid w:val="00C138D4"/>
    <w:rsid w:val="00C145CA"/>
    <w:rsid w:val="00C14B82"/>
    <w:rsid w:val="00C14E0D"/>
    <w:rsid w:val="00C165B5"/>
    <w:rsid w:val="00C17174"/>
    <w:rsid w:val="00C173EC"/>
    <w:rsid w:val="00C17AA6"/>
    <w:rsid w:val="00C204D6"/>
    <w:rsid w:val="00C208DE"/>
    <w:rsid w:val="00C20A11"/>
    <w:rsid w:val="00C210F0"/>
    <w:rsid w:val="00C21D7D"/>
    <w:rsid w:val="00C223FB"/>
    <w:rsid w:val="00C2269B"/>
    <w:rsid w:val="00C2397C"/>
    <w:rsid w:val="00C2458E"/>
    <w:rsid w:val="00C2465D"/>
    <w:rsid w:val="00C255A3"/>
    <w:rsid w:val="00C262BB"/>
    <w:rsid w:val="00C2692D"/>
    <w:rsid w:val="00C26933"/>
    <w:rsid w:val="00C272D0"/>
    <w:rsid w:val="00C30356"/>
    <w:rsid w:val="00C30847"/>
    <w:rsid w:val="00C30F7D"/>
    <w:rsid w:val="00C31252"/>
    <w:rsid w:val="00C31432"/>
    <w:rsid w:val="00C32183"/>
    <w:rsid w:val="00C322B8"/>
    <w:rsid w:val="00C33349"/>
    <w:rsid w:val="00C33780"/>
    <w:rsid w:val="00C33B15"/>
    <w:rsid w:val="00C34205"/>
    <w:rsid w:val="00C34DEF"/>
    <w:rsid w:val="00C354B5"/>
    <w:rsid w:val="00C357B5"/>
    <w:rsid w:val="00C35DD1"/>
    <w:rsid w:val="00C36A51"/>
    <w:rsid w:val="00C36F67"/>
    <w:rsid w:val="00C3724C"/>
    <w:rsid w:val="00C37731"/>
    <w:rsid w:val="00C4068B"/>
    <w:rsid w:val="00C40D92"/>
    <w:rsid w:val="00C417F0"/>
    <w:rsid w:val="00C43627"/>
    <w:rsid w:val="00C438D0"/>
    <w:rsid w:val="00C441CB"/>
    <w:rsid w:val="00C447A6"/>
    <w:rsid w:val="00C447F2"/>
    <w:rsid w:val="00C44BBB"/>
    <w:rsid w:val="00C44CA2"/>
    <w:rsid w:val="00C44D1D"/>
    <w:rsid w:val="00C44D95"/>
    <w:rsid w:val="00C45186"/>
    <w:rsid w:val="00C4526D"/>
    <w:rsid w:val="00C4572B"/>
    <w:rsid w:val="00C45F6C"/>
    <w:rsid w:val="00C4639D"/>
    <w:rsid w:val="00C466CA"/>
    <w:rsid w:val="00C46938"/>
    <w:rsid w:val="00C46D7A"/>
    <w:rsid w:val="00C47103"/>
    <w:rsid w:val="00C4782B"/>
    <w:rsid w:val="00C47B8F"/>
    <w:rsid w:val="00C47E2A"/>
    <w:rsid w:val="00C501FC"/>
    <w:rsid w:val="00C50390"/>
    <w:rsid w:val="00C50463"/>
    <w:rsid w:val="00C51162"/>
    <w:rsid w:val="00C51493"/>
    <w:rsid w:val="00C51869"/>
    <w:rsid w:val="00C51A54"/>
    <w:rsid w:val="00C52144"/>
    <w:rsid w:val="00C5241F"/>
    <w:rsid w:val="00C533F3"/>
    <w:rsid w:val="00C53481"/>
    <w:rsid w:val="00C54D19"/>
    <w:rsid w:val="00C54FC9"/>
    <w:rsid w:val="00C56754"/>
    <w:rsid w:val="00C56CA0"/>
    <w:rsid w:val="00C601B2"/>
    <w:rsid w:val="00C6048A"/>
    <w:rsid w:val="00C60548"/>
    <w:rsid w:val="00C61637"/>
    <w:rsid w:val="00C6193F"/>
    <w:rsid w:val="00C631B2"/>
    <w:rsid w:val="00C633A2"/>
    <w:rsid w:val="00C636F4"/>
    <w:rsid w:val="00C6387C"/>
    <w:rsid w:val="00C63959"/>
    <w:rsid w:val="00C63FB1"/>
    <w:rsid w:val="00C6599A"/>
    <w:rsid w:val="00C663C6"/>
    <w:rsid w:val="00C669A7"/>
    <w:rsid w:val="00C67AD3"/>
    <w:rsid w:val="00C70594"/>
    <w:rsid w:val="00C70617"/>
    <w:rsid w:val="00C7120B"/>
    <w:rsid w:val="00C71D3D"/>
    <w:rsid w:val="00C72968"/>
    <w:rsid w:val="00C72B6D"/>
    <w:rsid w:val="00C72CC1"/>
    <w:rsid w:val="00C72D9A"/>
    <w:rsid w:val="00C73131"/>
    <w:rsid w:val="00C7335A"/>
    <w:rsid w:val="00C737DD"/>
    <w:rsid w:val="00C73AD9"/>
    <w:rsid w:val="00C751AD"/>
    <w:rsid w:val="00C754F6"/>
    <w:rsid w:val="00C75AC4"/>
    <w:rsid w:val="00C75EB7"/>
    <w:rsid w:val="00C7639E"/>
    <w:rsid w:val="00C769A1"/>
    <w:rsid w:val="00C80293"/>
    <w:rsid w:val="00C80336"/>
    <w:rsid w:val="00C80BD5"/>
    <w:rsid w:val="00C81964"/>
    <w:rsid w:val="00C81D0D"/>
    <w:rsid w:val="00C81D90"/>
    <w:rsid w:val="00C8258C"/>
    <w:rsid w:val="00C83003"/>
    <w:rsid w:val="00C836D9"/>
    <w:rsid w:val="00C85968"/>
    <w:rsid w:val="00C8620E"/>
    <w:rsid w:val="00C86D05"/>
    <w:rsid w:val="00C87624"/>
    <w:rsid w:val="00C903D9"/>
    <w:rsid w:val="00C90B47"/>
    <w:rsid w:val="00C92A5E"/>
    <w:rsid w:val="00C92BDA"/>
    <w:rsid w:val="00C9323C"/>
    <w:rsid w:val="00C93D1B"/>
    <w:rsid w:val="00C94356"/>
    <w:rsid w:val="00C9529F"/>
    <w:rsid w:val="00C954D6"/>
    <w:rsid w:val="00C9584F"/>
    <w:rsid w:val="00C95A0D"/>
    <w:rsid w:val="00C96203"/>
    <w:rsid w:val="00C962D5"/>
    <w:rsid w:val="00C9632F"/>
    <w:rsid w:val="00C971E4"/>
    <w:rsid w:val="00C97805"/>
    <w:rsid w:val="00CA0B8D"/>
    <w:rsid w:val="00CA0E1C"/>
    <w:rsid w:val="00CA1090"/>
    <w:rsid w:val="00CA1097"/>
    <w:rsid w:val="00CA1129"/>
    <w:rsid w:val="00CA1732"/>
    <w:rsid w:val="00CA1984"/>
    <w:rsid w:val="00CA1A08"/>
    <w:rsid w:val="00CA1E4D"/>
    <w:rsid w:val="00CA2CCF"/>
    <w:rsid w:val="00CA346C"/>
    <w:rsid w:val="00CA4CCF"/>
    <w:rsid w:val="00CA5075"/>
    <w:rsid w:val="00CA58CA"/>
    <w:rsid w:val="00CA5F7E"/>
    <w:rsid w:val="00CA6364"/>
    <w:rsid w:val="00CA66A7"/>
    <w:rsid w:val="00CA6F1B"/>
    <w:rsid w:val="00CA6FF8"/>
    <w:rsid w:val="00CA7277"/>
    <w:rsid w:val="00CA72C4"/>
    <w:rsid w:val="00CA7A85"/>
    <w:rsid w:val="00CA7B20"/>
    <w:rsid w:val="00CB0450"/>
    <w:rsid w:val="00CB157B"/>
    <w:rsid w:val="00CB16AA"/>
    <w:rsid w:val="00CB2906"/>
    <w:rsid w:val="00CB2BEC"/>
    <w:rsid w:val="00CB2F91"/>
    <w:rsid w:val="00CB3059"/>
    <w:rsid w:val="00CB50CB"/>
    <w:rsid w:val="00CB5D66"/>
    <w:rsid w:val="00CB651A"/>
    <w:rsid w:val="00CB7EB8"/>
    <w:rsid w:val="00CB7F4C"/>
    <w:rsid w:val="00CB7FCF"/>
    <w:rsid w:val="00CC0BDC"/>
    <w:rsid w:val="00CC10F6"/>
    <w:rsid w:val="00CC12B2"/>
    <w:rsid w:val="00CC2601"/>
    <w:rsid w:val="00CC2C41"/>
    <w:rsid w:val="00CC2DD3"/>
    <w:rsid w:val="00CC2F81"/>
    <w:rsid w:val="00CC3121"/>
    <w:rsid w:val="00CC3349"/>
    <w:rsid w:val="00CC3BA5"/>
    <w:rsid w:val="00CC41B7"/>
    <w:rsid w:val="00CC4AF1"/>
    <w:rsid w:val="00CC5849"/>
    <w:rsid w:val="00CC58CE"/>
    <w:rsid w:val="00CC58EA"/>
    <w:rsid w:val="00CC69FE"/>
    <w:rsid w:val="00CC6EBF"/>
    <w:rsid w:val="00CC73D7"/>
    <w:rsid w:val="00CC753A"/>
    <w:rsid w:val="00CC798C"/>
    <w:rsid w:val="00CD0483"/>
    <w:rsid w:val="00CD1248"/>
    <w:rsid w:val="00CD1F89"/>
    <w:rsid w:val="00CD1F9A"/>
    <w:rsid w:val="00CD216D"/>
    <w:rsid w:val="00CD2899"/>
    <w:rsid w:val="00CD2CC3"/>
    <w:rsid w:val="00CD30BB"/>
    <w:rsid w:val="00CD30D9"/>
    <w:rsid w:val="00CD3BFD"/>
    <w:rsid w:val="00CD4068"/>
    <w:rsid w:val="00CD4497"/>
    <w:rsid w:val="00CD5403"/>
    <w:rsid w:val="00CD5811"/>
    <w:rsid w:val="00CD5E2C"/>
    <w:rsid w:val="00CD5E43"/>
    <w:rsid w:val="00CD6E15"/>
    <w:rsid w:val="00CD78EE"/>
    <w:rsid w:val="00CE02CC"/>
    <w:rsid w:val="00CE04C1"/>
    <w:rsid w:val="00CE08AF"/>
    <w:rsid w:val="00CE0909"/>
    <w:rsid w:val="00CE09DC"/>
    <w:rsid w:val="00CE0A11"/>
    <w:rsid w:val="00CE0A47"/>
    <w:rsid w:val="00CE160B"/>
    <w:rsid w:val="00CE1B57"/>
    <w:rsid w:val="00CE23FC"/>
    <w:rsid w:val="00CE2C0B"/>
    <w:rsid w:val="00CE2D14"/>
    <w:rsid w:val="00CE3224"/>
    <w:rsid w:val="00CE3654"/>
    <w:rsid w:val="00CE380E"/>
    <w:rsid w:val="00CE430D"/>
    <w:rsid w:val="00CE4825"/>
    <w:rsid w:val="00CE5068"/>
    <w:rsid w:val="00CE523A"/>
    <w:rsid w:val="00CE540D"/>
    <w:rsid w:val="00CE67BC"/>
    <w:rsid w:val="00CE72E9"/>
    <w:rsid w:val="00CE7567"/>
    <w:rsid w:val="00CF0593"/>
    <w:rsid w:val="00CF0DFF"/>
    <w:rsid w:val="00CF1070"/>
    <w:rsid w:val="00CF2E88"/>
    <w:rsid w:val="00CF3028"/>
    <w:rsid w:val="00CF3371"/>
    <w:rsid w:val="00CF3579"/>
    <w:rsid w:val="00CF3B1F"/>
    <w:rsid w:val="00CF5615"/>
    <w:rsid w:val="00CF5850"/>
    <w:rsid w:val="00CF5B2A"/>
    <w:rsid w:val="00CF6222"/>
    <w:rsid w:val="00CF6DC1"/>
    <w:rsid w:val="00CF6EF2"/>
    <w:rsid w:val="00CF768C"/>
    <w:rsid w:val="00CF7E94"/>
    <w:rsid w:val="00D019B8"/>
    <w:rsid w:val="00D02073"/>
    <w:rsid w:val="00D0230F"/>
    <w:rsid w:val="00D02D1C"/>
    <w:rsid w:val="00D03375"/>
    <w:rsid w:val="00D0359A"/>
    <w:rsid w:val="00D03CB8"/>
    <w:rsid w:val="00D04383"/>
    <w:rsid w:val="00D04AD5"/>
    <w:rsid w:val="00D04E89"/>
    <w:rsid w:val="00D05488"/>
    <w:rsid w:val="00D05A23"/>
    <w:rsid w:val="00D05CF3"/>
    <w:rsid w:val="00D05FC0"/>
    <w:rsid w:val="00D06D7F"/>
    <w:rsid w:val="00D07463"/>
    <w:rsid w:val="00D07ED9"/>
    <w:rsid w:val="00D11649"/>
    <w:rsid w:val="00D11AFA"/>
    <w:rsid w:val="00D11E47"/>
    <w:rsid w:val="00D137B5"/>
    <w:rsid w:val="00D1394F"/>
    <w:rsid w:val="00D149FA"/>
    <w:rsid w:val="00D1581B"/>
    <w:rsid w:val="00D15D4E"/>
    <w:rsid w:val="00D165D6"/>
    <w:rsid w:val="00D17439"/>
    <w:rsid w:val="00D17DAF"/>
    <w:rsid w:val="00D2029D"/>
    <w:rsid w:val="00D211D7"/>
    <w:rsid w:val="00D22436"/>
    <w:rsid w:val="00D23877"/>
    <w:rsid w:val="00D24917"/>
    <w:rsid w:val="00D24C46"/>
    <w:rsid w:val="00D25262"/>
    <w:rsid w:val="00D253CD"/>
    <w:rsid w:val="00D2608D"/>
    <w:rsid w:val="00D2626F"/>
    <w:rsid w:val="00D268A3"/>
    <w:rsid w:val="00D268D9"/>
    <w:rsid w:val="00D26D02"/>
    <w:rsid w:val="00D26D98"/>
    <w:rsid w:val="00D271D2"/>
    <w:rsid w:val="00D27ACB"/>
    <w:rsid w:val="00D30B7E"/>
    <w:rsid w:val="00D313E7"/>
    <w:rsid w:val="00D31F15"/>
    <w:rsid w:val="00D3207A"/>
    <w:rsid w:val="00D32123"/>
    <w:rsid w:val="00D32645"/>
    <w:rsid w:val="00D32DB2"/>
    <w:rsid w:val="00D339CF"/>
    <w:rsid w:val="00D34627"/>
    <w:rsid w:val="00D34D58"/>
    <w:rsid w:val="00D3537F"/>
    <w:rsid w:val="00D35401"/>
    <w:rsid w:val="00D37BE7"/>
    <w:rsid w:val="00D4038A"/>
    <w:rsid w:val="00D41152"/>
    <w:rsid w:val="00D41DE7"/>
    <w:rsid w:val="00D41E30"/>
    <w:rsid w:val="00D41F18"/>
    <w:rsid w:val="00D427CB"/>
    <w:rsid w:val="00D4310A"/>
    <w:rsid w:val="00D43A27"/>
    <w:rsid w:val="00D43D3D"/>
    <w:rsid w:val="00D44968"/>
    <w:rsid w:val="00D44E7E"/>
    <w:rsid w:val="00D458BB"/>
    <w:rsid w:val="00D4710C"/>
    <w:rsid w:val="00D47627"/>
    <w:rsid w:val="00D47805"/>
    <w:rsid w:val="00D47ADF"/>
    <w:rsid w:val="00D47BC5"/>
    <w:rsid w:val="00D47D33"/>
    <w:rsid w:val="00D50073"/>
    <w:rsid w:val="00D500D7"/>
    <w:rsid w:val="00D5035C"/>
    <w:rsid w:val="00D50972"/>
    <w:rsid w:val="00D50C5E"/>
    <w:rsid w:val="00D515C7"/>
    <w:rsid w:val="00D517EA"/>
    <w:rsid w:val="00D51E26"/>
    <w:rsid w:val="00D523E7"/>
    <w:rsid w:val="00D52814"/>
    <w:rsid w:val="00D52AC5"/>
    <w:rsid w:val="00D52D10"/>
    <w:rsid w:val="00D53227"/>
    <w:rsid w:val="00D53307"/>
    <w:rsid w:val="00D53EDE"/>
    <w:rsid w:val="00D547ED"/>
    <w:rsid w:val="00D55792"/>
    <w:rsid w:val="00D55908"/>
    <w:rsid w:val="00D5630D"/>
    <w:rsid w:val="00D5694C"/>
    <w:rsid w:val="00D56E44"/>
    <w:rsid w:val="00D56EEE"/>
    <w:rsid w:val="00D6010A"/>
    <w:rsid w:val="00D60C9C"/>
    <w:rsid w:val="00D610A0"/>
    <w:rsid w:val="00D610E9"/>
    <w:rsid w:val="00D61223"/>
    <w:rsid w:val="00D61664"/>
    <w:rsid w:val="00D62141"/>
    <w:rsid w:val="00D628E6"/>
    <w:rsid w:val="00D62B1A"/>
    <w:rsid w:val="00D63040"/>
    <w:rsid w:val="00D63522"/>
    <w:rsid w:val="00D635C6"/>
    <w:rsid w:val="00D6380F"/>
    <w:rsid w:val="00D63C65"/>
    <w:rsid w:val="00D64A6B"/>
    <w:rsid w:val="00D655BE"/>
    <w:rsid w:val="00D65691"/>
    <w:rsid w:val="00D660D3"/>
    <w:rsid w:val="00D671C6"/>
    <w:rsid w:val="00D67475"/>
    <w:rsid w:val="00D678C3"/>
    <w:rsid w:val="00D70440"/>
    <w:rsid w:val="00D7052D"/>
    <w:rsid w:val="00D70D0E"/>
    <w:rsid w:val="00D71226"/>
    <w:rsid w:val="00D71558"/>
    <w:rsid w:val="00D71561"/>
    <w:rsid w:val="00D71E42"/>
    <w:rsid w:val="00D72790"/>
    <w:rsid w:val="00D72E79"/>
    <w:rsid w:val="00D73AC0"/>
    <w:rsid w:val="00D74151"/>
    <w:rsid w:val="00D7434E"/>
    <w:rsid w:val="00D7464B"/>
    <w:rsid w:val="00D7492F"/>
    <w:rsid w:val="00D74C0C"/>
    <w:rsid w:val="00D75391"/>
    <w:rsid w:val="00D75729"/>
    <w:rsid w:val="00D75CF6"/>
    <w:rsid w:val="00D75D8C"/>
    <w:rsid w:val="00D75E8D"/>
    <w:rsid w:val="00D77049"/>
    <w:rsid w:val="00D77426"/>
    <w:rsid w:val="00D77ED3"/>
    <w:rsid w:val="00D805F6"/>
    <w:rsid w:val="00D8095B"/>
    <w:rsid w:val="00D80984"/>
    <w:rsid w:val="00D81460"/>
    <w:rsid w:val="00D8239B"/>
    <w:rsid w:val="00D82996"/>
    <w:rsid w:val="00D82AC1"/>
    <w:rsid w:val="00D84861"/>
    <w:rsid w:val="00D84F6D"/>
    <w:rsid w:val="00D85BB2"/>
    <w:rsid w:val="00D8725C"/>
    <w:rsid w:val="00D874D0"/>
    <w:rsid w:val="00D8781A"/>
    <w:rsid w:val="00D87B4B"/>
    <w:rsid w:val="00D87DD0"/>
    <w:rsid w:val="00D90FA0"/>
    <w:rsid w:val="00D91429"/>
    <w:rsid w:val="00D9165B"/>
    <w:rsid w:val="00D91E65"/>
    <w:rsid w:val="00D933EF"/>
    <w:rsid w:val="00D93507"/>
    <w:rsid w:val="00D93838"/>
    <w:rsid w:val="00D95086"/>
    <w:rsid w:val="00D95190"/>
    <w:rsid w:val="00D956FC"/>
    <w:rsid w:val="00D96223"/>
    <w:rsid w:val="00D96569"/>
    <w:rsid w:val="00D968F7"/>
    <w:rsid w:val="00D96FE2"/>
    <w:rsid w:val="00D974C2"/>
    <w:rsid w:val="00D979C3"/>
    <w:rsid w:val="00D97DA9"/>
    <w:rsid w:val="00D97F5C"/>
    <w:rsid w:val="00DA02EE"/>
    <w:rsid w:val="00DA0834"/>
    <w:rsid w:val="00DA0957"/>
    <w:rsid w:val="00DA18B9"/>
    <w:rsid w:val="00DA19F1"/>
    <w:rsid w:val="00DA1E27"/>
    <w:rsid w:val="00DA20F3"/>
    <w:rsid w:val="00DA2196"/>
    <w:rsid w:val="00DA2597"/>
    <w:rsid w:val="00DA25B9"/>
    <w:rsid w:val="00DA2F61"/>
    <w:rsid w:val="00DA30CF"/>
    <w:rsid w:val="00DA3731"/>
    <w:rsid w:val="00DA4110"/>
    <w:rsid w:val="00DA5458"/>
    <w:rsid w:val="00DA62C4"/>
    <w:rsid w:val="00DA632F"/>
    <w:rsid w:val="00DA67E1"/>
    <w:rsid w:val="00DA6A3E"/>
    <w:rsid w:val="00DB04DB"/>
    <w:rsid w:val="00DB05B9"/>
    <w:rsid w:val="00DB0838"/>
    <w:rsid w:val="00DB09BD"/>
    <w:rsid w:val="00DB14F9"/>
    <w:rsid w:val="00DB1E70"/>
    <w:rsid w:val="00DB1F12"/>
    <w:rsid w:val="00DB2409"/>
    <w:rsid w:val="00DB3064"/>
    <w:rsid w:val="00DB3349"/>
    <w:rsid w:val="00DB3627"/>
    <w:rsid w:val="00DB3745"/>
    <w:rsid w:val="00DB3A7D"/>
    <w:rsid w:val="00DB3B2B"/>
    <w:rsid w:val="00DB3B4F"/>
    <w:rsid w:val="00DB4CF7"/>
    <w:rsid w:val="00DB5234"/>
    <w:rsid w:val="00DB6857"/>
    <w:rsid w:val="00DB68F0"/>
    <w:rsid w:val="00DB7B5E"/>
    <w:rsid w:val="00DB7CF8"/>
    <w:rsid w:val="00DC03CE"/>
    <w:rsid w:val="00DC04E6"/>
    <w:rsid w:val="00DC0828"/>
    <w:rsid w:val="00DC086E"/>
    <w:rsid w:val="00DC1195"/>
    <w:rsid w:val="00DC17DC"/>
    <w:rsid w:val="00DC1AA5"/>
    <w:rsid w:val="00DC2573"/>
    <w:rsid w:val="00DC353F"/>
    <w:rsid w:val="00DC37EA"/>
    <w:rsid w:val="00DC4869"/>
    <w:rsid w:val="00DC6051"/>
    <w:rsid w:val="00DC64A4"/>
    <w:rsid w:val="00DC650B"/>
    <w:rsid w:val="00DC7173"/>
    <w:rsid w:val="00DC764D"/>
    <w:rsid w:val="00DD0773"/>
    <w:rsid w:val="00DD0D44"/>
    <w:rsid w:val="00DD0EAF"/>
    <w:rsid w:val="00DD1234"/>
    <w:rsid w:val="00DD1407"/>
    <w:rsid w:val="00DD224E"/>
    <w:rsid w:val="00DD2B42"/>
    <w:rsid w:val="00DD3C8A"/>
    <w:rsid w:val="00DD50AC"/>
    <w:rsid w:val="00DD50C6"/>
    <w:rsid w:val="00DD6255"/>
    <w:rsid w:val="00DD6BBC"/>
    <w:rsid w:val="00DD6FA9"/>
    <w:rsid w:val="00DD6FFE"/>
    <w:rsid w:val="00DD7947"/>
    <w:rsid w:val="00DD7E80"/>
    <w:rsid w:val="00DE001B"/>
    <w:rsid w:val="00DE0B60"/>
    <w:rsid w:val="00DE21F5"/>
    <w:rsid w:val="00DE258B"/>
    <w:rsid w:val="00DE269A"/>
    <w:rsid w:val="00DE29BF"/>
    <w:rsid w:val="00DE4485"/>
    <w:rsid w:val="00DE49A5"/>
    <w:rsid w:val="00DE4AE7"/>
    <w:rsid w:val="00DE4B6B"/>
    <w:rsid w:val="00DE51B1"/>
    <w:rsid w:val="00DE54ED"/>
    <w:rsid w:val="00DE5D52"/>
    <w:rsid w:val="00DE5D9C"/>
    <w:rsid w:val="00DE68AE"/>
    <w:rsid w:val="00DE6D3C"/>
    <w:rsid w:val="00DF0949"/>
    <w:rsid w:val="00DF0D2E"/>
    <w:rsid w:val="00DF110A"/>
    <w:rsid w:val="00DF1275"/>
    <w:rsid w:val="00DF15A5"/>
    <w:rsid w:val="00DF1760"/>
    <w:rsid w:val="00DF1C47"/>
    <w:rsid w:val="00DF1C6A"/>
    <w:rsid w:val="00DF1CD9"/>
    <w:rsid w:val="00DF1FFE"/>
    <w:rsid w:val="00DF24CC"/>
    <w:rsid w:val="00DF2583"/>
    <w:rsid w:val="00DF2778"/>
    <w:rsid w:val="00DF295C"/>
    <w:rsid w:val="00DF2CA5"/>
    <w:rsid w:val="00DF377C"/>
    <w:rsid w:val="00DF4C1E"/>
    <w:rsid w:val="00DF5D21"/>
    <w:rsid w:val="00DF6B60"/>
    <w:rsid w:val="00E00715"/>
    <w:rsid w:val="00E0086A"/>
    <w:rsid w:val="00E00B46"/>
    <w:rsid w:val="00E00C6B"/>
    <w:rsid w:val="00E01253"/>
    <w:rsid w:val="00E017E7"/>
    <w:rsid w:val="00E01BE8"/>
    <w:rsid w:val="00E01C1F"/>
    <w:rsid w:val="00E01CEE"/>
    <w:rsid w:val="00E01F07"/>
    <w:rsid w:val="00E02145"/>
    <w:rsid w:val="00E04565"/>
    <w:rsid w:val="00E04C7F"/>
    <w:rsid w:val="00E05327"/>
    <w:rsid w:val="00E05402"/>
    <w:rsid w:val="00E05DAF"/>
    <w:rsid w:val="00E05F26"/>
    <w:rsid w:val="00E06EFE"/>
    <w:rsid w:val="00E0781F"/>
    <w:rsid w:val="00E07AAD"/>
    <w:rsid w:val="00E07C3F"/>
    <w:rsid w:val="00E101A7"/>
    <w:rsid w:val="00E106B4"/>
    <w:rsid w:val="00E10791"/>
    <w:rsid w:val="00E11081"/>
    <w:rsid w:val="00E11141"/>
    <w:rsid w:val="00E114A0"/>
    <w:rsid w:val="00E11627"/>
    <w:rsid w:val="00E116EE"/>
    <w:rsid w:val="00E123C6"/>
    <w:rsid w:val="00E124A9"/>
    <w:rsid w:val="00E13319"/>
    <w:rsid w:val="00E13367"/>
    <w:rsid w:val="00E13829"/>
    <w:rsid w:val="00E13D78"/>
    <w:rsid w:val="00E14B17"/>
    <w:rsid w:val="00E14FF0"/>
    <w:rsid w:val="00E1562E"/>
    <w:rsid w:val="00E1599B"/>
    <w:rsid w:val="00E15ABD"/>
    <w:rsid w:val="00E15AC4"/>
    <w:rsid w:val="00E165AA"/>
    <w:rsid w:val="00E16660"/>
    <w:rsid w:val="00E178F1"/>
    <w:rsid w:val="00E17A35"/>
    <w:rsid w:val="00E17B01"/>
    <w:rsid w:val="00E20AA8"/>
    <w:rsid w:val="00E20AC2"/>
    <w:rsid w:val="00E210DE"/>
    <w:rsid w:val="00E21A2B"/>
    <w:rsid w:val="00E2230F"/>
    <w:rsid w:val="00E23828"/>
    <w:rsid w:val="00E23D68"/>
    <w:rsid w:val="00E25154"/>
    <w:rsid w:val="00E252BA"/>
    <w:rsid w:val="00E25AAD"/>
    <w:rsid w:val="00E25CED"/>
    <w:rsid w:val="00E25CFE"/>
    <w:rsid w:val="00E3033B"/>
    <w:rsid w:val="00E303E4"/>
    <w:rsid w:val="00E30844"/>
    <w:rsid w:val="00E335D8"/>
    <w:rsid w:val="00E349B9"/>
    <w:rsid w:val="00E35299"/>
    <w:rsid w:val="00E357E8"/>
    <w:rsid w:val="00E35D4D"/>
    <w:rsid w:val="00E3651A"/>
    <w:rsid w:val="00E36615"/>
    <w:rsid w:val="00E371E9"/>
    <w:rsid w:val="00E372EF"/>
    <w:rsid w:val="00E372F3"/>
    <w:rsid w:val="00E3776D"/>
    <w:rsid w:val="00E3799B"/>
    <w:rsid w:val="00E379F6"/>
    <w:rsid w:val="00E37B93"/>
    <w:rsid w:val="00E40E42"/>
    <w:rsid w:val="00E413B5"/>
    <w:rsid w:val="00E41B2F"/>
    <w:rsid w:val="00E41CEC"/>
    <w:rsid w:val="00E41EBC"/>
    <w:rsid w:val="00E42254"/>
    <w:rsid w:val="00E4390B"/>
    <w:rsid w:val="00E43F1C"/>
    <w:rsid w:val="00E45730"/>
    <w:rsid w:val="00E45834"/>
    <w:rsid w:val="00E46BC1"/>
    <w:rsid w:val="00E46F09"/>
    <w:rsid w:val="00E476C4"/>
    <w:rsid w:val="00E477FE"/>
    <w:rsid w:val="00E479E4"/>
    <w:rsid w:val="00E504FF"/>
    <w:rsid w:val="00E50900"/>
    <w:rsid w:val="00E50EF1"/>
    <w:rsid w:val="00E51009"/>
    <w:rsid w:val="00E51901"/>
    <w:rsid w:val="00E51951"/>
    <w:rsid w:val="00E533D8"/>
    <w:rsid w:val="00E534F2"/>
    <w:rsid w:val="00E53C2D"/>
    <w:rsid w:val="00E54326"/>
    <w:rsid w:val="00E54602"/>
    <w:rsid w:val="00E5523B"/>
    <w:rsid w:val="00E552CC"/>
    <w:rsid w:val="00E55ACF"/>
    <w:rsid w:val="00E55CDE"/>
    <w:rsid w:val="00E56368"/>
    <w:rsid w:val="00E5673C"/>
    <w:rsid w:val="00E567B5"/>
    <w:rsid w:val="00E57643"/>
    <w:rsid w:val="00E60088"/>
    <w:rsid w:val="00E60309"/>
    <w:rsid w:val="00E6034D"/>
    <w:rsid w:val="00E60445"/>
    <w:rsid w:val="00E60C57"/>
    <w:rsid w:val="00E61361"/>
    <w:rsid w:val="00E61CA8"/>
    <w:rsid w:val="00E61F57"/>
    <w:rsid w:val="00E622E1"/>
    <w:rsid w:val="00E6279D"/>
    <w:rsid w:val="00E62BC0"/>
    <w:rsid w:val="00E63C40"/>
    <w:rsid w:val="00E6779E"/>
    <w:rsid w:val="00E67EBC"/>
    <w:rsid w:val="00E67F4E"/>
    <w:rsid w:val="00E70DF0"/>
    <w:rsid w:val="00E70E80"/>
    <w:rsid w:val="00E71E35"/>
    <w:rsid w:val="00E72140"/>
    <w:rsid w:val="00E72323"/>
    <w:rsid w:val="00E72903"/>
    <w:rsid w:val="00E73F37"/>
    <w:rsid w:val="00E73F8F"/>
    <w:rsid w:val="00E74164"/>
    <w:rsid w:val="00E74576"/>
    <w:rsid w:val="00E748B7"/>
    <w:rsid w:val="00E75041"/>
    <w:rsid w:val="00E75510"/>
    <w:rsid w:val="00E76752"/>
    <w:rsid w:val="00E80F63"/>
    <w:rsid w:val="00E811E6"/>
    <w:rsid w:val="00E8188F"/>
    <w:rsid w:val="00E83382"/>
    <w:rsid w:val="00E843E3"/>
    <w:rsid w:val="00E86206"/>
    <w:rsid w:val="00E86214"/>
    <w:rsid w:val="00E86F93"/>
    <w:rsid w:val="00E87C51"/>
    <w:rsid w:val="00E87DCF"/>
    <w:rsid w:val="00E9057C"/>
    <w:rsid w:val="00E90A89"/>
    <w:rsid w:val="00E91C55"/>
    <w:rsid w:val="00E9225A"/>
    <w:rsid w:val="00E92AB8"/>
    <w:rsid w:val="00E92D62"/>
    <w:rsid w:val="00E94D1C"/>
    <w:rsid w:val="00E96394"/>
    <w:rsid w:val="00E96977"/>
    <w:rsid w:val="00E96BC0"/>
    <w:rsid w:val="00E96F47"/>
    <w:rsid w:val="00E97251"/>
    <w:rsid w:val="00EA0072"/>
    <w:rsid w:val="00EA031D"/>
    <w:rsid w:val="00EA1C6C"/>
    <w:rsid w:val="00EA28C7"/>
    <w:rsid w:val="00EA2B35"/>
    <w:rsid w:val="00EA30D4"/>
    <w:rsid w:val="00EA4973"/>
    <w:rsid w:val="00EA55DB"/>
    <w:rsid w:val="00EA6039"/>
    <w:rsid w:val="00EA7163"/>
    <w:rsid w:val="00EA76FF"/>
    <w:rsid w:val="00EA7F8E"/>
    <w:rsid w:val="00EB0A41"/>
    <w:rsid w:val="00EB1D08"/>
    <w:rsid w:val="00EB1E14"/>
    <w:rsid w:val="00EB1F29"/>
    <w:rsid w:val="00EB1F4D"/>
    <w:rsid w:val="00EB2242"/>
    <w:rsid w:val="00EB30EF"/>
    <w:rsid w:val="00EB31B6"/>
    <w:rsid w:val="00EB32E4"/>
    <w:rsid w:val="00EB38A1"/>
    <w:rsid w:val="00EB49B1"/>
    <w:rsid w:val="00EB5970"/>
    <w:rsid w:val="00EB5A0A"/>
    <w:rsid w:val="00EB6811"/>
    <w:rsid w:val="00EB7463"/>
    <w:rsid w:val="00EC0082"/>
    <w:rsid w:val="00EC0361"/>
    <w:rsid w:val="00EC042B"/>
    <w:rsid w:val="00EC061A"/>
    <w:rsid w:val="00EC175C"/>
    <w:rsid w:val="00EC1EEC"/>
    <w:rsid w:val="00EC2511"/>
    <w:rsid w:val="00EC2597"/>
    <w:rsid w:val="00EC2AD1"/>
    <w:rsid w:val="00EC2FE8"/>
    <w:rsid w:val="00EC33B9"/>
    <w:rsid w:val="00EC379D"/>
    <w:rsid w:val="00EC3A01"/>
    <w:rsid w:val="00EC3AF5"/>
    <w:rsid w:val="00EC3DCE"/>
    <w:rsid w:val="00EC4B72"/>
    <w:rsid w:val="00EC4EAE"/>
    <w:rsid w:val="00EC507E"/>
    <w:rsid w:val="00EC551F"/>
    <w:rsid w:val="00EC602E"/>
    <w:rsid w:val="00EC632F"/>
    <w:rsid w:val="00EC6C53"/>
    <w:rsid w:val="00EC7181"/>
    <w:rsid w:val="00EC72DD"/>
    <w:rsid w:val="00EC797C"/>
    <w:rsid w:val="00EC79D5"/>
    <w:rsid w:val="00EC7FC6"/>
    <w:rsid w:val="00ED0AED"/>
    <w:rsid w:val="00ED0CD0"/>
    <w:rsid w:val="00ED0D98"/>
    <w:rsid w:val="00ED191D"/>
    <w:rsid w:val="00ED2143"/>
    <w:rsid w:val="00ED22FE"/>
    <w:rsid w:val="00ED22FF"/>
    <w:rsid w:val="00ED2A15"/>
    <w:rsid w:val="00ED3616"/>
    <w:rsid w:val="00ED3C04"/>
    <w:rsid w:val="00ED40AC"/>
    <w:rsid w:val="00ED561E"/>
    <w:rsid w:val="00ED6DC3"/>
    <w:rsid w:val="00ED7774"/>
    <w:rsid w:val="00ED7ABF"/>
    <w:rsid w:val="00ED7CC8"/>
    <w:rsid w:val="00EE023A"/>
    <w:rsid w:val="00EE0C45"/>
    <w:rsid w:val="00EE29C8"/>
    <w:rsid w:val="00EE3306"/>
    <w:rsid w:val="00EE3522"/>
    <w:rsid w:val="00EE38C1"/>
    <w:rsid w:val="00EE4033"/>
    <w:rsid w:val="00EE4090"/>
    <w:rsid w:val="00EE4098"/>
    <w:rsid w:val="00EE46DD"/>
    <w:rsid w:val="00EE4C8E"/>
    <w:rsid w:val="00EE5916"/>
    <w:rsid w:val="00EE624A"/>
    <w:rsid w:val="00EE6DAF"/>
    <w:rsid w:val="00EE6E18"/>
    <w:rsid w:val="00EE6F94"/>
    <w:rsid w:val="00EE713E"/>
    <w:rsid w:val="00EE7A95"/>
    <w:rsid w:val="00EE7E80"/>
    <w:rsid w:val="00EF00CF"/>
    <w:rsid w:val="00EF010B"/>
    <w:rsid w:val="00EF0613"/>
    <w:rsid w:val="00EF1940"/>
    <w:rsid w:val="00EF1C18"/>
    <w:rsid w:val="00EF1DBB"/>
    <w:rsid w:val="00EF1E0C"/>
    <w:rsid w:val="00EF1E49"/>
    <w:rsid w:val="00EF29F5"/>
    <w:rsid w:val="00EF321F"/>
    <w:rsid w:val="00EF34DE"/>
    <w:rsid w:val="00EF3764"/>
    <w:rsid w:val="00EF3B7A"/>
    <w:rsid w:val="00EF3E37"/>
    <w:rsid w:val="00EF48AE"/>
    <w:rsid w:val="00EF48AF"/>
    <w:rsid w:val="00EF4FD2"/>
    <w:rsid w:val="00EF57B2"/>
    <w:rsid w:val="00EF5C76"/>
    <w:rsid w:val="00EF6274"/>
    <w:rsid w:val="00EF67F5"/>
    <w:rsid w:val="00EF6F3F"/>
    <w:rsid w:val="00EF76B1"/>
    <w:rsid w:val="00F0120E"/>
    <w:rsid w:val="00F019A0"/>
    <w:rsid w:val="00F02419"/>
    <w:rsid w:val="00F0295D"/>
    <w:rsid w:val="00F029E7"/>
    <w:rsid w:val="00F03288"/>
    <w:rsid w:val="00F03342"/>
    <w:rsid w:val="00F036F4"/>
    <w:rsid w:val="00F03986"/>
    <w:rsid w:val="00F04A23"/>
    <w:rsid w:val="00F04F03"/>
    <w:rsid w:val="00F05DEB"/>
    <w:rsid w:val="00F06458"/>
    <w:rsid w:val="00F0655C"/>
    <w:rsid w:val="00F06D2C"/>
    <w:rsid w:val="00F070E8"/>
    <w:rsid w:val="00F074B8"/>
    <w:rsid w:val="00F07639"/>
    <w:rsid w:val="00F07DFF"/>
    <w:rsid w:val="00F10282"/>
    <w:rsid w:val="00F103F0"/>
    <w:rsid w:val="00F108DB"/>
    <w:rsid w:val="00F10AE8"/>
    <w:rsid w:val="00F10B9C"/>
    <w:rsid w:val="00F10D1A"/>
    <w:rsid w:val="00F10E19"/>
    <w:rsid w:val="00F12428"/>
    <w:rsid w:val="00F13243"/>
    <w:rsid w:val="00F1348A"/>
    <w:rsid w:val="00F13609"/>
    <w:rsid w:val="00F1369C"/>
    <w:rsid w:val="00F137CA"/>
    <w:rsid w:val="00F14CD2"/>
    <w:rsid w:val="00F14DC2"/>
    <w:rsid w:val="00F15AE9"/>
    <w:rsid w:val="00F16090"/>
    <w:rsid w:val="00F16175"/>
    <w:rsid w:val="00F16887"/>
    <w:rsid w:val="00F16904"/>
    <w:rsid w:val="00F16BA2"/>
    <w:rsid w:val="00F204BC"/>
    <w:rsid w:val="00F20E73"/>
    <w:rsid w:val="00F21559"/>
    <w:rsid w:val="00F21867"/>
    <w:rsid w:val="00F21F5F"/>
    <w:rsid w:val="00F220E8"/>
    <w:rsid w:val="00F224B6"/>
    <w:rsid w:val="00F224F0"/>
    <w:rsid w:val="00F228A0"/>
    <w:rsid w:val="00F23327"/>
    <w:rsid w:val="00F23D29"/>
    <w:rsid w:val="00F24C4B"/>
    <w:rsid w:val="00F25257"/>
    <w:rsid w:val="00F25339"/>
    <w:rsid w:val="00F255D4"/>
    <w:rsid w:val="00F25C6F"/>
    <w:rsid w:val="00F25D26"/>
    <w:rsid w:val="00F25D96"/>
    <w:rsid w:val="00F25E37"/>
    <w:rsid w:val="00F25EAB"/>
    <w:rsid w:val="00F26327"/>
    <w:rsid w:val="00F26D40"/>
    <w:rsid w:val="00F276FB"/>
    <w:rsid w:val="00F31421"/>
    <w:rsid w:val="00F31EAE"/>
    <w:rsid w:val="00F33109"/>
    <w:rsid w:val="00F35434"/>
    <w:rsid w:val="00F35E2C"/>
    <w:rsid w:val="00F35E4E"/>
    <w:rsid w:val="00F37158"/>
    <w:rsid w:val="00F3772D"/>
    <w:rsid w:val="00F37B9B"/>
    <w:rsid w:val="00F40476"/>
    <w:rsid w:val="00F42483"/>
    <w:rsid w:val="00F425EB"/>
    <w:rsid w:val="00F42C8F"/>
    <w:rsid w:val="00F4313B"/>
    <w:rsid w:val="00F43C8D"/>
    <w:rsid w:val="00F44074"/>
    <w:rsid w:val="00F4496B"/>
    <w:rsid w:val="00F46197"/>
    <w:rsid w:val="00F468C5"/>
    <w:rsid w:val="00F46B4F"/>
    <w:rsid w:val="00F46F1C"/>
    <w:rsid w:val="00F471BF"/>
    <w:rsid w:val="00F47DB8"/>
    <w:rsid w:val="00F506F2"/>
    <w:rsid w:val="00F50D42"/>
    <w:rsid w:val="00F51207"/>
    <w:rsid w:val="00F53931"/>
    <w:rsid w:val="00F53F4D"/>
    <w:rsid w:val="00F5421A"/>
    <w:rsid w:val="00F5494A"/>
    <w:rsid w:val="00F5566B"/>
    <w:rsid w:val="00F57223"/>
    <w:rsid w:val="00F579BA"/>
    <w:rsid w:val="00F57D3D"/>
    <w:rsid w:val="00F6016B"/>
    <w:rsid w:val="00F60237"/>
    <w:rsid w:val="00F60FDF"/>
    <w:rsid w:val="00F61210"/>
    <w:rsid w:val="00F61885"/>
    <w:rsid w:val="00F61B8F"/>
    <w:rsid w:val="00F6241F"/>
    <w:rsid w:val="00F62459"/>
    <w:rsid w:val="00F63587"/>
    <w:rsid w:val="00F63ED0"/>
    <w:rsid w:val="00F64895"/>
    <w:rsid w:val="00F649DD"/>
    <w:rsid w:val="00F64B6F"/>
    <w:rsid w:val="00F64CD6"/>
    <w:rsid w:val="00F65459"/>
    <w:rsid w:val="00F65C8D"/>
    <w:rsid w:val="00F65DCC"/>
    <w:rsid w:val="00F65FB8"/>
    <w:rsid w:val="00F660E1"/>
    <w:rsid w:val="00F66F0B"/>
    <w:rsid w:val="00F671F1"/>
    <w:rsid w:val="00F67B1A"/>
    <w:rsid w:val="00F70A7D"/>
    <w:rsid w:val="00F71087"/>
    <w:rsid w:val="00F71093"/>
    <w:rsid w:val="00F71811"/>
    <w:rsid w:val="00F72605"/>
    <w:rsid w:val="00F72656"/>
    <w:rsid w:val="00F727D6"/>
    <w:rsid w:val="00F72B67"/>
    <w:rsid w:val="00F7368A"/>
    <w:rsid w:val="00F73A81"/>
    <w:rsid w:val="00F74444"/>
    <w:rsid w:val="00F74BF5"/>
    <w:rsid w:val="00F74EC8"/>
    <w:rsid w:val="00F75259"/>
    <w:rsid w:val="00F752E9"/>
    <w:rsid w:val="00F75391"/>
    <w:rsid w:val="00F76BE7"/>
    <w:rsid w:val="00F77689"/>
    <w:rsid w:val="00F778C9"/>
    <w:rsid w:val="00F8032C"/>
    <w:rsid w:val="00F81444"/>
    <w:rsid w:val="00F819C3"/>
    <w:rsid w:val="00F8213E"/>
    <w:rsid w:val="00F82547"/>
    <w:rsid w:val="00F82B54"/>
    <w:rsid w:val="00F83134"/>
    <w:rsid w:val="00F831E2"/>
    <w:rsid w:val="00F83A94"/>
    <w:rsid w:val="00F83B57"/>
    <w:rsid w:val="00F84236"/>
    <w:rsid w:val="00F84594"/>
    <w:rsid w:val="00F84819"/>
    <w:rsid w:val="00F84FD8"/>
    <w:rsid w:val="00F8574C"/>
    <w:rsid w:val="00F85B6F"/>
    <w:rsid w:val="00F8602D"/>
    <w:rsid w:val="00F86B83"/>
    <w:rsid w:val="00F86C36"/>
    <w:rsid w:val="00F8771C"/>
    <w:rsid w:val="00F879A7"/>
    <w:rsid w:val="00F87DD2"/>
    <w:rsid w:val="00F9045F"/>
    <w:rsid w:val="00F90846"/>
    <w:rsid w:val="00F90B6D"/>
    <w:rsid w:val="00F9103C"/>
    <w:rsid w:val="00F9106E"/>
    <w:rsid w:val="00F911E9"/>
    <w:rsid w:val="00F9168D"/>
    <w:rsid w:val="00F926A1"/>
    <w:rsid w:val="00F93028"/>
    <w:rsid w:val="00F94AE2"/>
    <w:rsid w:val="00F95DFA"/>
    <w:rsid w:val="00FA0BED"/>
    <w:rsid w:val="00FA14C3"/>
    <w:rsid w:val="00FA182E"/>
    <w:rsid w:val="00FA1940"/>
    <w:rsid w:val="00FA1DD7"/>
    <w:rsid w:val="00FA259E"/>
    <w:rsid w:val="00FA270C"/>
    <w:rsid w:val="00FA2E09"/>
    <w:rsid w:val="00FA363F"/>
    <w:rsid w:val="00FA3BBD"/>
    <w:rsid w:val="00FA448F"/>
    <w:rsid w:val="00FA4516"/>
    <w:rsid w:val="00FA4F69"/>
    <w:rsid w:val="00FA572F"/>
    <w:rsid w:val="00FA576E"/>
    <w:rsid w:val="00FA57AF"/>
    <w:rsid w:val="00FA59ED"/>
    <w:rsid w:val="00FA5A6B"/>
    <w:rsid w:val="00FA61CB"/>
    <w:rsid w:val="00FA6856"/>
    <w:rsid w:val="00FA692E"/>
    <w:rsid w:val="00FA6F35"/>
    <w:rsid w:val="00FB0247"/>
    <w:rsid w:val="00FB0AFC"/>
    <w:rsid w:val="00FB0C63"/>
    <w:rsid w:val="00FB0ED1"/>
    <w:rsid w:val="00FB218D"/>
    <w:rsid w:val="00FB23A3"/>
    <w:rsid w:val="00FB25A1"/>
    <w:rsid w:val="00FB2E8F"/>
    <w:rsid w:val="00FB3A9E"/>
    <w:rsid w:val="00FB3E35"/>
    <w:rsid w:val="00FB4370"/>
    <w:rsid w:val="00FB4ED0"/>
    <w:rsid w:val="00FB5518"/>
    <w:rsid w:val="00FB5C1B"/>
    <w:rsid w:val="00FB61B4"/>
    <w:rsid w:val="00FB653D"/>
    <w:rsid w:val="00FB75FF"/>
    <w:rsid w:val="00FB764A"/>
    <w:rsid w:val="00FC1181"/>
    <w:rsid w:val="00FC15C1"/>
    <w:rsid w:val="00FC1DB5"/>
    <w:rsid w:val="00FC2FAA"/>
    <w:rsid w:val="00FC32A2"/>
    <w:rsid w:val="00FC3442"/>
    <w:rsid w:val="00FC3930"/>
    <w:rsid w:val="00FC3EE6"/>
    <w:rsid w:val="00FC4855"/>
    <w:rsid w:val="00FC521D"/>
    <w:rsid w:val="00FC5540"/>
    <w:rsid w:val="00FC5B8C"/>
    <w:rsid w:val="00FC6EE4"/>
    <w:rsid w:val="00FC790A"/>
    <w:rsid w:val="00FD029D"/>
    <w:rsid w:val="00FD1177"/>
    <w:rsid w:val="00FD146C"/>
    <w:rsid w:val="00FD296A"/>
    <w:rsid w:val="00FD36C8"/>
    <w:rsid w:val="00FD36DA"/>
    <w:rsid w:val="00FD43D2"/>
    <w:rsid w:val="00FD4855"/>
    <w:rsid w:val="00FD5968"/>
    <w:rsid w:val="00FD5C4F"/>
    <w:rsid w:val="00FD6265"/>
    <w:rsid w:val="00FD628A"/>
    <w:rsid w:val="00FD640A"/>
    <w:rsid w:val="00FD6A45"/>
    <w:rsid w:val="00FE016A"/>
    <w:rsid w:val="00FE0402"/>
    <w:rsid w:val="00FE07C4"/>
    <w:rsid w:val="00FE086B"/>
    <w:rsid w:val="00FE09B5"/>
    <w:rsid w:val="00FE0EDE"/>
    <w:rsid w:val="00FE103D"/>
    <w:rsid w:val="00FE1C40"/>
    <w:rsid w:val="00FE1F4C"/>
    <w:rsid w:val="00FE37E3"/>
    <w:rsid w:val="00FE37F1"/>
    <w:rsid w:val="00FE3DC5"/>
    <w:rsid w:val="00FE41BE"/>
    <w:rsid w:val="00FE48BE"/>
    <w:rsid w:val="00FE4957"/>
    <w:rsid w:val="00FE4AD5"/>
    <w:rsid w:val="00FE4F79"/>
    <w:rsid w:val="00FE503A"/>
    <w:rsid w:val="00FE64DC"/>
    <w:rsid w:val="00FE66CB"/>
    <w:rsid w:val="00FE68FF"/>
    <w:rsid w:val="00FE7F7E"/>
    <w:rsid w:val="00FF0360"/>
    <w:rsid w:val="00FF0D09"/>
    <w:rsid w:val="00FF11F0"/>
    <w:rsid w:val="00FF1312"/>
    <w:rsid w:val="00FF1CF4"/>
    <w:rsid w:val="00FF26B2"/>
    <w:rsid w:val="00FF27FE"/>
    <w:rsid w:val="00FF2F62"/>
    <w:rsid w:val="00FF381E"/>
    <w:rsid w:val="00FF4681"/>
    <w:rsid w:val="00FF5952"/>
    <w:rsid w:val="00FF5BC3"/>
    <w:rsid w:val="00FF64CE"/>
    <w:rsid w:val="00FF6D50"/>
    <w:rsid w:val="00FF759E"/>
    <w:rsid w:val="00FF7F41"/>
    <w:rsid w:val="00FF7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3F6F5-1A6E-40E2-9AE3-FF3DCE5C9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E42"/>
    <w:pPr>
      <w:spacing w:after="0" w:line="240" w:lineRule="auto"/>
    </w:pPr>
    <w:rPr>
      <w:rFonts w:ascii="Times New Roman" w:hAnsi="Times New Roman" w:cs="Times New Roman"/>
      <w:sz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768C"/>
    <w:rPr>
      <w:color w:val="0000FF" w:themeColor="hyperlink"/>
      <w:u w:val="single"/>
    </w:rPr>
  </w:style>
  <w:style w:type="paragraph" w:styleId="FootnoteText">
    <w:name w:val="footnote text"/>
    <w:basedOn w:val="Normal"/>
    <w:link w:val="FootnoteTextChar"/>
    <w:unhideWhenUsed/>
    <w:rsid w:val="00CF768C"/>
    <w:rPr>
      <w:sz w:val="20"/>
      <w:szCs w:val="20"/>
    </w:rPr>
  </w:style>
  <w:style w:type="character" w:customStyle="1" w:styleId="FootnoteTextChar">
    <w:name w:val="Footnote Text Char"/>
    <w:basedOn w:val="DefaultParagraphFont"/>
    <w:link w:val="FootnoteText"/>
    <w:rsid w:val="00CF768C"/>
    <w:rPr>
      <w:rFonts w:ascii="Times New Roman" w:hAnsi="Times New Roman" w:cs="Times New Roman"/>
      <w:sz w:val="20"/>
      <w:szCs w:val="20"/>
      <w:lang w:bidi="en-US"/>
    </w:rPr>
  </w:style>
  <w:style w:type="character" w:styleId="FootnoteReference">
    <w:name w:val="footnote reference"/>
    <w:basedOn w:val="DefaultParagraphFont"/>
    <w:semiHidden/>
    <w:unhideWhenUsed/>
    <w:rsid w:val="00CF768C"/>
    <w:rPr>
      <w:vertAlign w:val="superscript"/>
    </w:rPr>
  </w:style>
  <w:style w:type="paragraph" w:styleId="NormalWeb">
    <w:name w:val="Normal (Web)"/>
    <w:basedOn w:val="Normal"/>
    <w:rsid w:val="00BB475B"/>
    <w:pPr>
      <w:spacing w:before="100" w:beforeAutospacing="1" w:after="100" w:afterAutospacing="1"/>
    </w:pPr>
    <w:rPr>
      <w:szCs w:val="24"/>
      <w:lang w:bidi="ar-SA"/>
    </w:rPr>
  </w:style>
  <w:style w:type="paragraph" w:styleId="Header">
    <w:name w:val="header"/>
    <w:basedOn w:val="Normal"/>
    <w:link w:val="HeaderChar"/>
    <w:uiPriority w:val="99"/>
    <w:unhideWhenUsed/>
    <w:rsid w:val="00052B76"/>
    <w:pPr>
      <w:tabs>
        <w:tab w:val="center" w:pos="4680"/>
        <w:tab w:val="right" w:pos="9360"/>
      </w:tabs>
    </w:pPr>
  </w:style>
  <w:style w:type="character" w:customStyle="1" w:styleId="HeaderChar">
    <w:name w:val="Header Char"/>
    <w:basedOn w:val="DefaultParagraphFont"/>
    <w:link w:val="Header"/>
    <w:uiPriority w:val="99"/>
    <w:rsid w:val="00052B76"/>
    <w:rPr>
      <w:rFonts w:ascii="Times New Roman" w:hAnsi="Times New Roman" w:cs="Times New Roman"/>
      <w:sz w:val="24"/>
      <w:lang w:bidi="en-US"/>
    </w:rPr>
  </w:style>
  <w:style w:type="paragraph" w:styleId="Footer">
    <w:name w:val="footer"/>
    <w:basedOn w:val="Normal"/>
    <w:link w:val="FooterChar"/>
    <w:uiPriority w:val="99"/>
    <w:unhideWhenUsed/>
    <w:rsid w:val="00052B76"/>
    <w:pPr>
      <w:tabs>
        <w:tab w:val="center" w:pos="4680"/>
        <w:tab w:val="right" w:pos="9360"/>
      </w:tabs>
    </w:pPr>
  </w:style>
  <w:style w:type="character" w:customStyle="1" w:styleId="FooterChar">
    <w:name w:val="Footer Char"/>
    <w:basedOn w:val="DefaultParagraphFont"/>
    <w:link w:val="Footer"/>
    <w:uiPriority w:val="99"/>
    <w:rsid w:val="00052B76"/>
    <w:rPr>
      <w:rFonts w:ascii="Times New Roman" w:hAnsi="Times New Roman" w:cs="Times New Roman"/>
      <w:sz w:val="24"/>
      <w:lang w:bidi="en-US"/>
    </w:rPr>
  </w:style>
  <w:style w:type="table" w:styleId="TableGrid">
    <w:name w:val="Table Grid"/>
    <w:basedOn w:val="TableNormal"/>
    <w:uiPriority w:val="59"/>
    <w:rsid w:val="000524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
    <w:name w:val="readonly"/>
    <w:basedOn w:val="DefaultParagraphFont"/>
    <w:rsid w:val="008B5B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179548">
      <w:bodyDiv w:val="1"/>
      <w:marLeft w:val="0"/>
      <w:marRight w:val="0"/>
      <w:marTop w:val="0"/>
      <w:marBottom w:val="0"/>
      <w:divBdr>
        <w:top w:val="none" w:sz="0" w:space="0" w:color="auto"/>
        <w:left w:val="none" w:sz="0" w:space="0" w:color="auto"/>
        <w:bottom w:val="none" w:sz="0" w:space="0" w:color="auto"/>
        <w:right w:val="none" w:sz="0" w:space="0" w:color="auto"/>
      </w:divBdr>
    </w:div>
    <w:div w:id="852960937">
      <w:bodyDiv w:val="1"/>
      <w:marLeft w:val="0"/>
      <w:marRight w:val="0"/>
      <w:marTop w:val="0"/>
      <w:marBottom w:val="0"/>
      <w:divBdr>
        <w:top w:val="none" w:sz="0" w:space="0" w:color="auto"/>
        <w:left w:val="none" w:sz="0" w:space="0" w:color="auto"/>
        <w:bottom w:val="none" w:sz="0" w:space="0" w:color="auto"/>
        <w:right w:val="none" w:sz="0" w:space="0" w:color="auto"/>
      </w:divBdr>
    </w:div>
    <w:div w:id="1185361184">
      <w:bodyDiv w:val="1"/>
      <w:marLeft w:val="0"/>
      <w:marRight w:val="0"/>
      <w:marTop w:val="0"/>
      <w:marBottom w:val="0"/>
      <w:divBdr>
        <w:top w:val="none" w:sz="0" w:space="0" w:color="auto"/>
        <w:left w:val="none" w:sz="0" w:space="0" w:color="auto"/>
        <w:bottom w:val="none" w:sz="0" w:space="0" w:color="auto"/>
        <w:right w:val="none" w:sz="0" w:space="0" w:color="auto"/>
      </w:divBdr>
    </w:div>
    <w:div w:id="1230116245">
      <w:bodyDiv w:val="1"/>
      <w:marLeft w:val="0"/>
      <w:marRight w:val="0"/>
      <w:marTop w:val="0"/>
      <w:marBottom w:val="0"/>
      <w:divBdr>
        <w:top w:val="none" w:sz="0" w:space="0" w:color="auto"/>
        <w:left w:val="none" w:sz="0" w:space="0" w:color="auto"/>
        <w:bottom w:val="none" w:sz="0" w:space="0" w:color="auto"/>
        <w:right w:val="none" w:sz="0" w:space="0" w:color="auto"/>
      </w:divBdr>
    </w:div>
    <w:div w:id="1264650690">
      <w:bodyDiv w:val="1"/>
      <w:marLeft w:val="0"/>
      <w:marRight w:val="0"/>
      <w:marTop w:val="0"/>
      <w:marBottom w:val="0"/>
      <w:divBdr>
        <w:top w:val="none" w:sz="0" w:space="0" w:color="auto"/>
        <w:left w:val="none" w:sz="0" w:space="0" w:color="auto"/>
        <w:bottom w:val="none" w:sz="0" w:space="0" w:color="auto"/>
        <w:right w:val="none" w:sz="0" w:space="0" w:color="auto"/>
      </w:divBdr>
    </w:div>
    <w:div w:id="1603299383">
      <w:bodyDiv w:val="1"/>
      <w:marLeft w:val="0"/>
      <w:marRight w:val="0"/>
      <w:marTop w:val="0"/>
      <w:marBottom w:val="0"/>
      <w:divBdr>
        <w:top w:val="none" w:sz="0" w:space="0" w:color="auto"/>
        <w:left w:val="none" w:sz="0" w:space="0" w:color="auto"/>
        <w:bottom w:val="none" w:sz="0" w:space="0" w:color="auto"/>
        <w:right w:val="none" w:sz="0" w:space="0" w:color="auto"/>
      </w:divBdr>
    </w:div>
    <w:div w:id="17746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growup.ethz.ch/" TargetMode="External"/><Relationship Id="rId2" Type="http://schemas.openxmlformats.org/officeDocument/2006/relationships/hyperlink" Target="http://www.ian-ko.com/" TargetMode="External"/><Relationship Id="rId1" Type="http://schemas.openxmlformats.org/officeDocument/2006/relationships/hyperlink" Target="http://www.naturalearthdata.com" TargetMode="External"/><Relationship Id="rId6" Type="http://schemas.openxmlformats.org/officeDocument/2006/relationships/hyperlink" Target="https://www.dur.ac.uk/ibru/resources/irbd/" TargetMode="External"/><Relationship Id="rId5" Type="http://schemas.openxmlformats.org/officeDocument/2006/relationships/hyperlink" Target="http://correlatesofwar.org" TargetMode="External"/><Relationship Id="rId4" Type="http://schemas.openxmlformats.org/officeDocument/2006/relationships/hyperlink" Target="http://na.unep.net/siouxfalls/datasets/data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SA.XSL" StyleName="ASA*"/>
</file>

<file path=customXml/itemProps1.xml><?xml version="1.0" encoding="utf-8"?>
<ds:datastoreItem xmlns:ds="http://schemas.openxmlformats.org/officeDocument/2006/customXml" ds:itemID="{CF49B06C-A17C-41AB-B99B-4044F3846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3277</Words>
  <Characters>16781</Characters>
  <Application>Microsoft Office Word</Application>
  <DocSecurity>0</DocSecurity>
  <Lines>289</Lines>
  <Paragraphs>86</Paragraphs>
  <ScaleCrop>false</ScaleCrop>
  <HeadingPairs>
    <vt:vector size="2" baseType="variant">
      <vt:variant>
        <vt:lpstr>Title</vt:lpstr>
      </vt:variant>
      <vt:variant>
        <vt:i4>1</vt:i4>
      </vt:variant>
    </vt:vector>
  </HeadingPairs>
  <TitlesOfParts>
    <vt:vector size="1" baseType="lpstr">
      <vt:lpstr/>
    </vt:vector>
  </TitlesOfParts>
  <Company>Stanford University</Company>
  <LinksUpToDate>false</LinksUpToDate>
  <CharactersWithSpaces>19972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kschultz</dc:creator>
  <cp:keywords/>
  <dc:description/>
  <cp:lastModifiedBy>Goemans, Henk</cp:lastModifiedBy>
  <cp:revision>2</cp:revision>
  <dcterms:created xsi:type="dcterms:W3CDTF">2016-04-28T21:25:00Z</dcterms:created>
  <dcterms:modified xsi:type="dcterms:W3CDTF">2016-04-28T21:25:00Z</dcterms:modified>
</cp:coreProperties>
</file>